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6D" w:rsidRPr="009E1EAE" w:rsidRDefault="00242F6D">
      <w:pPr>
        <w:widowControl w:val="0"/>
        <w:rPr>
          <w:rFonts w:ascii="Gill Sans MT" w:eastAsia="Arial" w:hAnsi="Gill Sans MT" w:cs="Arial"/>
          <w:sz w:val="22"/>
          <w:szCs w:val="22"/>
        </w:rPr>
      </w:pPr>
    </w:p>
    <w:tbl>
      <w:tblPr>
        <w:tblStyle w:val="a"/>
        <w:tblW w:w="849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242F6D" w:rsidRPr="009E1EAE">
        <w:tc>
          <w:tcPr>
            <w:tcW w:w="4247" w:type="dxa"/>
            <w:vAlign w:val="center"/>
          </w:tcPr>
          <w:p w:rsidR="00242F6D" w:rsidRPr="009E1EAE" w:rsidRDefault="00D84180" w:rsidP="00013E04">
            <w:pPr>
              <w:jc w:val="center"/>
              <w:rPr>
                <w:rFonts w:ascii="Gill Sans MT" w:eastAsia="Gill Sans" w:hAnsi="Gill Sans MT" w:cs="Gill Sans"/>
                <w:b/>
              </w:rPr>
            </w:pPr>
            <w:r>
              <w:rPr>
                <w:rFonts w:ascii="Gill Sans MT" w:eastAsia="Gill Sans" w:hAnsi="Gill Sans MT" w:cs="Gill Sans"/>
                <w:b/>
              </w:rPr>
              <w:t>OHAMR</w:t>
            </w:r>
          </w:p>
        </w:tc>
        <w:tc>
          <w:tcPr>
            <w:tcW w:w="4247" w:type="dxa"/>
            <w:vAlign w:val="center"/>
          </w:tcPr>
          <w:p w:rsidR="00242F6D" w:rsidRPr="009E1EAE" w:rsidRDefault="0098663E">
            <w:pPr>
              <w:jc w:val="center"/>
              <w:rPr>
                <w:rFonts w:ascii="Gill Sans MT" w:eastAsia="Gill Sans" w:hAnsi="Gill Sans MT" w:cs="Gill Sans"/>
                <w:b/>
                <w:sz w:val="22"/>
                <w:szCs w:val="22"/>
              </w:rPr>
            </w:pPr>
            <w:r w:rsidRPr="0098663E">
              <w:rPr>
                <w:rFonts w:ascii="Gill Sans MT" w:eastAsia="Gill Sans" w:hAnsi="Gill Sans MT" w:cs="Gill Sans"/>
                <w:b/>
                <w:noProof/>
                <w:sz w:val="22"/>
                <w:szCs w:val="22"/>
              </w:rPr>
              <w:drawing>
                <wp:inline distT="0" distB="0" distL="0" distR="0">
                  <wp:extent cx="977127" cy="257138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127" cy="257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F6D" w:rsidRPr="009E1EAE">
        <w:trPr>
          <w:trHeight w:val="288"/>
        </w:trPr>
        <w:tc>
          <w:tcPr>
            <w:tcW w:w="8494" w:type="dxa"/>
            <w:gridSpan w:val="2"/>
            <w:vAlign w:val="center"/>
          </w:tcPr>
          <w:p w:rsidR="009A1705" w:rsidRDefault="00F40A7C" w:rsidP="009A1705">
            <w:pPr>
              <w:spacing w:before="240"/>
              <w:jc w:val="center"/>
              <w:rPr>
                <w:rFonts w:ascii="Gill Sans MT" w:eastAsia="Gill Sans" w:hAnsi="Gill Sans MT" w:cs="Gill Sans"/>
                <w:sz w:val="28"/>
                <w:szCs w:val="28"/>
              </w:rPr>
            </w:pPr>
            <w:r>
              <w:rPr>
                <w:rFonts w:ascii="Gill Sans MT" w:eastAsia="Gill Sans" w:hAnsi="Gill Sans MT" w:cs="Gill Sans"/>
                <w:sz w:val="28"/>
                <w:szCs w:val="28"/>
              </w:rPr>
              <w:t xml:space="preserve">Pre-anuncio </w:t>
            </w:r>
            <w:r w:rsidR="005245C8" w:rsidRPr="009E1EAE">
              <w:rPr>
                <w:rFonts w:ascii="Gill Sans MT" w:eastAsia="Gill Sans" w:hAnsi="Gill Sans MT" w:cs="Gill Sans"/>
                <w:sz w:val="28"/>
                <w:szCs w:val="28"/>
              </w:rPr>
              <w:t>Convocatoria</w:t>
            </w:r>
            <w:r w:rsidR="00D84180">
              <w:rPr>
                <w:rFonts w:ascii="Gill Sans MT" w:eastAsia="Gill Sans" w:hAnsi="Gill Sans MT" w:cs="Gill Sans"/>
                <w:sz w:val="28"/>
                <w:szCs w:val="28"/>
              </w:rPr>
              <w:t xml:space="preserve"> Transnacional Conjunta</w:t>
            </w:r>
            <w:r w:rsidR="005245C8" w:rsidRPr="009E1EAE">
              <w:rPr>
                <w:rFonts w:ascii="Gill Sans MT" w:eastAsia="Gill Sans" w:hAnsi="Gill Sans MT" w:cs="Gill Sans"/>
                <w:sz w:val="28"/>
                <w:szCs w:val="28"/>
              </w:rPr>
              <w:t xml:space="preserve"> de 202</w:t>
            </w:r>
            <w:r w:rsidR="000B00BB">
              <w:rPr>
                <w:rFonts w:ascii="Gill Sans MT" w:eastAsia="Gill Sans" w:hAnsi="Gill Sans MT" w:cs="Gill Sans"/>
                <w:sz w:val="28"/>
                <w:szCs w:val="28"/>
              </w:rPr>
              <w:t>6</w:t>
            </w:r>
          </w:p>
          <w:p w:rsidR="005245C8" w:rsidRPr="009E1EAE" w:rsidRDefault="00D84180" w:rsidP="000B00BB">
            <w:pPr>
              <w:jc w:val="center"/>
              <w:rPr>
                <w:rFonts w:ascii="Gill Sans MT" w:eastAsia="Gill Sans" w:hAnsi="Gill Sans MT" w:cs="Gill Sans"/>
                <w:sz w:val="28"/>
                <w:szCs w:val="28"/>
              </w:rPr>
            </w:pPr>
            <w:r w:rsidRPr="00D84180">
              <w:rPr>
                <w:rFonts w:ascii="Gill Sans MT" w:eastAsia="Gill Sans" w:hAnsi="Gill Sans MT" w:cs="Gill Sans"/>
                <w:b/>
                <w:sz w:val="28"/>
                <w:szCs w:val="28"/>
              </w:rPr>
              <w:t>Tratamientos y cumplimiento de los protocolos terapéuticos</w:t>
            </w:r>
            <w:r w:rsidR="000B00BB" w:rsidRPr="000B00BB">
              <w:rPr>
                <w:rFonts w:ascii="Gill Sans MT" w:eastAsia="Gill Sans" w:hAnsi="Gill Sans MT" w:cs="Gill Sans"/>
                <w:b/>
                <w:sz w:val="28"/>
                <w:szCs w:val="28"/>
              </w:rPr>
              <w:t>.</w:t>
            </w:r>
          </w:p>
        </w:tc>
      </w:tr>
      <w:tr w:rsidR="00242F6D" w:rsidRPr="009E1EAE">
        <w:trPr>
          <w:trHeight w:val="288"/>
        </w:trPr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2F6D" w:rsidRPr="009E1EAE" w:rsidRDefault="005245C8" w:rsidP="00D84180">
            <w:pPr>
              <w:widowControl w:val="0"/>
              <w:rPr>
                <w:rFonts w:ascii="Gill Sans MT" w:eastAsia="Gill Sans" w:hAnsi="Gill Sans MT" w:cs="Gill Sans"/>
                <w:sz w:val="22"/>
                <w:szCs w:val="22"/>
              </w:rPr>
            </w:pPr>
            <w:r w:rsidRPr="009E1EAE">
              <w:rPr>
                <w:rFonts w:ascii="Gill Sans MT" w:eastAsia="Gill Sans" w:hAnsi="Gill Sans MT" w:cs="Gill Sans"/>
                <w:b/>
                <w:sz w:val="22"/>
                <w:szCs w:val="22"/>
              </w:rPr>
              <w:t xml:space="preserve">Apertura: </w:t>
            </w:r>
            <w:r w:rsidR="00013E04">
              <w:rPr>
                <w:rFonts w:ascii="Gill Sans MT" w:eastAsia="Gill Sans" w:hAnsi="Gill Sans MT" w:cs="Gill Sans"/>
                <w:sz w:val="22"/>
                <w:szCs w:val="22"/>
              </w:rPr>
              <w:t>1</w:t>
            </w:r>
            <w:r w:rsidR="00D84180">
              <w:rPr>
                <w:rFonts w:ascii="Gill Sans MT" w:eastAsia="Gill Sans" w:hAnsi="Gill Sans MT" w:cs="Gill Sans"/>
                <w:sz w:val="22"/>
                <w:szCs w:val="22"/>
              </w:rPr>
              <w:t>8</w:t>
            </w:r>
            <w:r w:rsidR="00AA575B" w:rsidRPr="00AA575B">
              <w:rPr>
                <w:rFonts w:ascii="Gill Sans MT" w:eastAsia="Gill Sans" w:hAnsi="Gill Sans MT" w:cs="Gill Sans"/>
                <w:sz w:val="22"/>
                <w:szCs w:val="22"/>
              </w:rPr>
              <w:t xml:space="preserve"> de </w:t>
            </w:r>
            <w:r w:rsidR="00D84180">
              <w:rPr>
                <w:rFonts w:ascii="Gill Sans MT" w:eastAsia="Gill Sans" w:hAnsi="Gill Sans MT" w:cs="Gill Sans"/>
                <w:sz w:val="22"/>
                <w:szCs w:val="22"/>
              </w:rPr>
              <w:t>noviembre</w:t>
            </w:r>
            <w:r w:rsidR="00013E04">
              <w:rPr>
                <w:rFonts w:ascii="Gill Sans MT" w:eastAsia="Gill Sans" w:hAnsi="Gill Sans MT" w:cs="Gill Sans"/>
                <w:sz w:val="22"/>
                <w:szCs w:val="22"/>
              </w:rPr>
              <w:t xml:space="preserve"> de 202</w:t>
            </w:r>
            <w:r w:rsidR="000B00BB">
              <w:rPr>
                <w:rFonts w:ascii="Gill Sans MT" w:eastAsia="Gill Sans" w:hAnsi="Gill Sans MT" w:cs="Gill Sans"/>
                <w:sz w:val="22"/>
                <w:szCs w:val="22"/>
              </w:rPr>
              <w:t>5</w:t>
            </w:r>
          </w:p>
        </w:tc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3E04" w:rsidRDefault="005245C8" w:rsidP="00993B51">
            <w:pPr>
              <w:widowControl w:val="0"/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</w:rPr>
            </w:pPr>
            <w:r w:rsidRPr="009E1EAE">
              <w:rPr>
                <w:rFonts w:ascii="Gill Sans MT" w:eastAsia="Gill Sans" w:hAnsi="Gill Sans MT" w:cs="Gill Sans"/>
                <w:color w:val="5B0F00"/>
                <w:sz w:val="22"/>
                <w:szCs w:val="22"/>
              </w:rPr>
              <w:t>Fecha de cierre</w:t>
            </w:r>
            <w:r w:rsidR="00013E04">
              <w:rPr>
                <w:rFonts w:ascii="Gill Sans MT" w:eastAsia="Gill Sans" w:hAnsi="Gill Sans MT" w:cs="Gill Sans"/>
                <w:color w:val="5B0F00"/>
                <w:sz w:val="22"/>
                <w:szCs w:val="22"/>
              </w:rPr>
              <w:t xml:space="preserve"> de la primera fase</w:t>
            </w:r>
            <w:r w:rsidRPr="009E1EAE">
              <w:rPr>
                <w:rFonts w:ascii="Gill Sans MT" w:eastAsia="Gill Sans" w:hAnsi="Gill Sans MT" w:cs="Gill Sans"/>
                <w:color w:val="5B0F00"/>
                <w:sz w:val="22"/>
                <w:szCs w:val="22"/>
              </w:rPr>
              <w:t>:</w:t>
            </w:r>
            <w:r w:rsidRPr="009E1EAE"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</w:rPr>
              <w:t xml:space="preserve"> </w:t>
            </w:r>
          </w:p>
          <w:p w:rsidR="00242F6D" w:rsidRPr="009E1EAE" w:rsidRDefault="000B00BB" w:rsidP="000B00BB">
            <w:pPr>
              <w:widowControl w:val="0"/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</w:pPr>
            <w:r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  <w:t>2</w:t>
            </w:r>
            <w:r w:rsidR="00013E04"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  <w:t xml:space="preserve"> de febrero de 202</w:t>
            </w:r>
            <w:r>
              <w:rPr>
                <w:rFonts w:ascii="Gill Sans MT" w:eastAsia="Gill Sans" w:hAnsi="Gill Sans MT" w:cs="Gill Sans"/>
                <w:b/>
                <w:color w:val="5B0F00"/>
                <w:sz w:val="22"/>
                <w:szCs w:val="22"/>
                <w:u w:val="single"/>
              </w:rPr>
              <w:t>6</w:t>
            </w:r>
          </w:p>
        </w:tc>
      </w:tr>
      <w:tr w:rsidR="00242F6D" w:rsidRPr="009E1EAE">
        <w:trPr>
          <w:trHeight w:val="288"/>
        </w:trPr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2F6D" w:rsidRPr="009E1EAE" w:rsidRDefault="005245C8" w:rsidP="00FD0717">
            <w:pPr>
              <w:widowControl w:val="0"/>
              <w:rPr>
                <w:rFonts w:ascii="Gill Sans MT" w:eastAsia="Gill Sans" w:hAnsi="Gill Sans MT" w:cs="Gill Sans"/>
                <w:sz w:val="22"/>
                <w:szCs w:val="22"/>
              </w:rPr>
            </w:pPr>
            <w:r w:rsidRPr="009E1EAE">
              <w:rPr>
                <w:rFonts w:ascii="Gill Sans MT" w:eastAsia="Gill Sans" w:hAnsi="Gill Sans MT" w:cs="Gill Sans"/>
                <w:b/>
                <w:sz w:val="22"/>
                <w:szCs w:val="22"/>
              </w:rPr>
              <w:t xml:space="preserve">Tipo de actuación: </w:t>
            </w:r>
            <w:proofErr w:type="spellStart"/>
            <w:r w:rsidR="0098663E">
              <w:rPr>
                <w:rFonts w:ascii="Gill Sans MT" w:eastAsia="Gill Sans" w:hAnsi="Gill Sans MT" w:cs="Gill Sans"/>
                <w:sz w:val="22"/>
                <w:szCs w:val="22"/>
              </w:rPr>
              <w:t>Partenariado</w:t>
            </w:r>
            <w:proofErr w:type="spellEnd"/>
            <w:r w:rsidR="000A21D8">
              <w:rPr>
                <w:rFonts w:ascii="Gill Sans MT" w:eastAsia="Gill Sans" w:hAnsi="Gill Sans MT" w:cs="Gill Sans"/>
                <w:sz w:val="22"/>
                <w:szCs w:val="22"/>
              </w:rPr>
              <w:t xml:space="preserve"> Europeo</w:t>
            </w:r>
          </w:p>
        </w:tc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2F6D" w:rsidRPr="009E1EAE" w:rsidRDefault="005245C8" w:rsidP="00D84180">
            <w:pPr>
              <w:widowControl w:val="0"/>
              <w:rPr>
                <w:rFonts w:ascii="Gill Sans MT" w:eastAsia="Gill Sans" w:hAnsi="Gill Sans MT" w:cs="Gill Sans"/>
                <w:sz w:val="22"/>
                <w:szCs w:val="22"/>
              </w:rPr>
            </w:pPr>
            <w:r w:rsidRPr="009E1EAE">
              <w:rPr>
                <w:rFonts w:ascii="Gill Sans MT" w:eastAsia="Gill Sans" w:hAnsi="Gill Sans MT" w:cs="Gill Sans"/>
                <w:b/>
                <w:sz w:val="22"/>
                <w:szCs w:val="22"/>
              </w:rPr>
              <w:t xml:space="preserve">Presupuesto global: </w:t>
            </w:r>
            <w:r w:rsidR="00D84180" w:rsidRPr="00D84180">
              <w:rPr>
                <w:rFonts w:ascii="Gill Sans MT" w:eastAsia="Gill Sans" w:hAnsi="Gill Sans MT" w:cs="Gill Sans"/>
                <w:sz w:val="22"/>
                <w:szCs w:val="22"/>
              </w:rPr>
              <w:t>&gt;28M€</w:t>
            </w:r>
          </w:p>
        </w:tc>
      </w:tr>
    </w:tbl>
    <w:p w:rsidR="00242F6D" w:rsidRPr="009E1EAE" w:rsidRDefault="00242F6D">
      <w:pPr>
        <w:jc w:val="both"/>
        <w:rPr>
          <w:rFonts w:ascii="Gill Sans MT" w:eastAsia="Gill Sans" w:hAnsi="Gill Sans MT" w:cs="Gill Sans"/>
        </w:rPr>
      </w:pPr>
    </w:p>
    <w:p w:rsidR="0098663E" w:rsidRPr="00013E04" w:rsidRDefault="005245C8" w:rsidP="00013E04">
      <w:pPr>
        <w:jc w:val="both"/>
        <w:rPr>
          <w:rFonts w:ascii="Gill Sans MT" w:eastAsia="Gill Sans" w:hAnsi="Gill Sans MT" w:cs="Gill Sans"/>
          <w:sz w:val="22"/>
          <w:szCs w:val="22"/>
        </w:rPr>
      </w:pPr>
      <w:r w:rsidRPr="009E1EAE">
        <w:rPr>
          <w:rFonts w:ascii="Gill Sans MT" w:eastAsia="Gill Sans" w:hAnsi="Gill Sans MT" w:cs="Gill Sans"/>
          <w:b/>
          <w:color w:val="000000"/>
          <w:sz w:val="22"/>
          <w:szCs w:val="22"/>
        </w:rPr>
        <w:t>Objetivo</w:t>
      </w:r>
      <w:r w:rsidRPr="009E1EAE">
        <w:rPr>
          <w:rFonts w:ascii="Gill Sans MT" w:eastAsia="Gill Sans" w:hAnsi="Gill Sans MT" w:cs="Gill Sans"/>
          <w:color w:val="000000"/>
          <w:sz w:val="22"/>
          <w:szCs w:val="22"/>
        </w:rPr>
        <w:t>:</w:t>
      </w:r>
      <w:r w:rsidRPr="009E1EAE">
        <w:rPr>
          <w:rFonts w:ascii="Gill Sans MT" w:eastAsia="Gill Sans" w:hAnsi="Gill Sans MT" w:cs="Gill Sans"/>
          <w:sz w:val="22"/>
          <w:szCs w:val="22"/>
        </w:rPr>
        <w:t xml:space="preserve"> </w:t>
      </w:r>
      <w:r w:rsidR="0053005D" w:rsidRPr="0053005D">
        <w:rPr>
          <w:rFonts w:ascii="Gill Sans MT" w:eastAsia="Gill Sans" w:hAnsi="Gill Sans MT" w:cs="Gill Sans"/>
          <w:sz w:val="22"/>
          <w:szCs w:val="22"/>
        </w:rPr>
        <w:t>abordar la resistencia a los antimicrobianos bajo el enfoque "Una Sola Salud", identificando y desarrollando medidas para superar las barreras que dificultan el acceso, la disponibilidad y la calidad de las soluciones tera</w:t>
      </w:r>
      <w:bookmarkStart w:id="0" w:name="_GoBack"/>
      <w:bookmarkEnd w:id="0"/>
      <w:r w:rsidR="0053005D" w:rsidRPr="0053005D">
        <w:rPr>
          <w:rFonts w:ascii="Gill Sans MT" w:eastAsia="Gill Sans" w:hAnsi="Gill Sans MT" w:cs="Gill Sans"/>
          <w:sz w:val="22"/>
          <w:szCs w:val="22"/>
        </w:rPr>
        <w:t>péuticas. Adicionalmente, busca evaluar y predecir el impacto de los incentivos económicos y la normativa en el desarrollo, la producción, el suministro y la disponibilidad de medicamentos esenciales.</w:t>
      </w:r>
    </w:p>
    <w:p w:rsidR="00D84180" w:rsidRPr="00D84180" w:rsidRDefault="005245C8" w:rsidP="00D84180">
      <w:p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9E1EAE">
        <w:rPr>
          <w:rFonts w:ascii="Gill Sans MT" w:eastAsia="Gill Sans" w:hAnsi="Gill Sans MT" w:cs="Gill Sans"/>
          <w:b/>
          <w:sz w:val="22"/>
          <w:szCs w:val="22"/>
        </w:rPr>
        <w:t>Alcance</w:t>
      </w:r>
      <w:r w:rsidRPr="00AA575B">
        <w:rPr>
          <w:rFonts w:ascii="Gill Sans MT" w:eastAsia="Gill Sans" w:hAnsi="Gill Sans MT" w:cs="Gill Sans"/>
          <w:sz w:val="22"/>
          <w:szCs w:val="22"/>
        </w:rPr>
        <w:t xml:space="preserve">: </w:t>
      </w:r>
      <w:r w:rsidR="00D84180">
        <w:rPr>
          <w:rFonts w:ascii="Gill Sans MT" w:eastAsia="Gill Sans" w:hAnsi="Gill Sans MT" w:cs="Gill Sans"/>
          <w:sz w:val="22"/>
          <w:szCs w:val="22"/>
        </w:rPr>
        <w:t xml:space="preserve">proyectos de </w:t>
      </w:r>
      <w:r w:rsidR="00D84180" w:rsidRPr="00D84180">
        <w:rPr>
          <w:rFonts w:ascii="Gill Sans MT" w:eastAsia="Gill Sans" w:hAnsi="Gill Sans MT" w:cs="Gill Sans"/>
          <w:sz w:val="22"/>
          <w:szCs w:val="22"/>
        </w:rPr>
        <w:t xml:space="preserve">investigación </w:t>
      </w:r>
      <w:r w:rsidR="00D84180">
        <w:rPr>
          <w:rFonts w:ascii="Gill Sans MT" w:eastAsia="Gill Sans" w:hAnsi="Gill Sans MT" w:cs="Gill Sans"/>
          <w:sz w:val="22"/>
          <w:szCs w:val="22"/>
        </w:rPr>
        <w:t>e</w:t>
      </w:r>
      <w:r w:rsidR="00D84180" w:rsidRPr="00D84180">
        <w:rPr>
          <w:rFonts w:ascii="Gill Sans MT" w:eastAsia="Gill Sans" w:hAnsi="Gill Sans MT" w:cs="Gill Sans"/>
          <w:sz w:val="22"/>
          <w:szCs w:val="22"/>
        </w:rPr>
        <w:t xml:space="preserve"> innovación </w:t>
      </w:r>
      <w:r w:rsidR="00D84180">
        <w:rPr>
          <w:rFonts w:ascii="Gill Sans MT" w:eastAsia="Gill Sans" w:hAnsi="Gill Sans MT" w:cs="Gill Sans"/>
          <w:sz w:val="22"/>
          <w:szCs w:val="22"/>
        </w:rPr>
        <w:t>dentro de l</w:t>
      </w:r>
      <w:r w:rsidR="0053005D">
        <w:rPr>
          <w:rFonts w:ascii="Gill Sans MT" w:eastAsia="Gill Sans" w:hAnsi="Gill Sans MT" w:cs="Gill Sans"/>
          <w:sz w:val="22"/>
          <w:szCs w:val="22"/>
        </w:rPr>
        <w:t>a</w:t>
      </w:r>
      <w:r w:rsidR="00D84180">
        <w:rPr>
          <w:rFonts w:ascii="Gill Sans MT" w:eastAsia="Gill Sans" w:hAnsi="Gill Sans MT" w:cs="Gill Sans"/>
          <w:sz w:val="22"/>
          <w:szCs w:val="22"/>
        </w:rPr>
        <w:t>s siguientes áreas:</w:t>
      </w:r>
    </w:p>
    <w:p w:rsidR="0053005D" w:rsidRDefault="0053005D" w:rsidP="0053005D">
      <w:pPr>
        <w:pStyle w:val="Prrafodelista"/>
        <w:numPr>
          <w:ilvl w:val="0"/>
          <w:numId w:val="11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53005D">
        <w:rPr>
          <w:rFonts w:ascii="Gill Sans MT" w:eastAsia="Gill Sans" w:hAnsi="Gill Sans MT" w:cs="Gill Sans"/>
          <w:sz w:val="22"/>
          <w:szCs w:val="22"/>
        </w:rPr>
        <w:t>Identificar y desarrollar nuevos tratamientos combinados utilizando antimicrobianos existentes o innovadores, o antimicrobianos con tratamientos complementarios, para ampliar la eficacia de los fármacos y combatir la resistencia.</w:t>
      </w:r>
    </w:p>
    <w:p w:rsidR="0053005D" w:rsidRDefault="0053005D" w:rsidP="00865071">
      <w:pPr>
        <w:pStyle w:val="Prrafodelista"/>
        <w:numPr>
          <w:ilvl w:val="0"/>
          <w:numId w:val="11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53005D">
        <w:rPr>
          <w:rFonts w:ascii="Gill Sans MT" w:eastAsia="Gill Sans" w:hAnsi="Gill Sans MT" w:cs="Gill Sans"/>
          <w:sz w:val="22"/>
          <w:szCs w:val="22"/>
        </w:rPr>
        <w:t>Desarrollar herramientas y métodos para mejorar el cumplimiento de los protocolos de tratamiento.</w:t>
      </w:r>
    </w:p>
    <w:p w:rsidR="0053005D" w:rsidRPr="0053005D" w:rsidRDefault="0053005D" w:rsidP="0053005D">
      <w:pPr>
        <w:pStyle w:val="Prrafodelista"/>
        <w:numPr>
          <w:ilvl w:val="0"/>
          <w:numId w:val="11"/>
        </w:num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53005D">
        <w:rPr>
          <w:rFonts w:ascii="Gill Sans MT" w:eastAsia="Gill Sans" w:hAnsi="Gill Sans MT" w:cs="Gill Sans"/>
          <w:sz w:val="22"/>
          <w:szCs w:val="22"/>
        </w:rPr>
        <w:t>Evaluar el impacto de los antimicrobianos para uso veterinario y agrícola en el riesgo de transmisión de la resistencia a los antimicrobianos a los seres humanos y al medio ambiente, con el fin de informar las políticas sobre la restricción de algunos antimicrobianos para uso humano.</w:t>
      </w:r>
    </w:p>
    <w:p w:rsidR="00242F6D" w:rsidRPr="00DC4441" w:rsidRDefault="005245C8" w:rsidP="0053005D">
      <w:pPr>
        <w:spacing w:before="240"/>
        <w:jc w:val="both"/>
        <w:rPr>
          <w:rFonts w:ascii="Gill Sans MT" w:eastAsia="Gill Sans" w:hAnsi="Gill Sans MT" w:cs="Gill Sans"/>
          <w:sz w:val="22"/>
          <w:szCs w:val="22"/>
        </w:rPr>
      </w:pPr>
      <w:r w:rsidRPr="0053005D">
        <w:rPr>
          <w:rFonts w:ascii="Gill Sans MT" w:eastAsia="Gill Sans" w:hAnsi="Gill Sans MT" w:cs="Gill Sans"/>
          <w:b/>
          <w:sz w:val="22"/>
          <w:szCs w:val="22"/>
        </w:rPr>
        <w:t>Requisitos de los solicitantes</w:t>
      </w:r>
      <w:r w:rsidRPr="0053005D">
        <w:rPr>
          <w:rFonts w:ascii="Gill Sans MT" w:eastAsia="Gill Sans" w:hAnsi="Gill Sans MT" w:cs="Gill Sans"/>
          <w:sz w:val="22"/>
          <w:szCs w:val="22"/>
        </w:rPr>
        <w:t xml:space="preserve">: </w:t>
      </w:r>
      <w:r w:rsidR="0053005D">
        <w:rPr>
          <w:rFonts w:ascii="Gill Sans MT" w:eastAsia="Gill Sans" w:hAnsi="Gill Sans MT" w:cs="Gill Sans"/>
          <w:sz w:val="22"/>
          <w:szCs w:val="22"/>
        </w:rPr>
        <w:t xml:space="preserve"> </w:t>
      </w:r>
      <w:r w:rsidR="00DC4441" w:rsidRPr="00DC4441">
        <w:rPr>
          <w:rFonts w:ascii="Gill Sans MT" w:eastAsia="Gill Sans" w:hAnsi="Gill Sans MT" w:cs="Gill Sans"/>
          <w:sz w:val="22"/>
          <w:szCs w:val="22"/>
        </w:rPr>
        <w:t xml:space="preserve">Cada consorcio que presente una propuesta deberá contar con entre </w:t>
      </w:r>
      <w:r w:rsidR="0053005D">
        <w:rPr>
          <w:rFonts w:ascii="Gill Sans MT" w:eastAsia="Gill Sans" w:hAnsi="Gill Sans MT" w:cs="Gill Sans"/>
          <w:sz w:val="22"/>
          <w:szCs w:val="22"/>
        </w:rPr>
        <w:t>tres</w:t>
      </w:r>
      <w:r w:rsidR="00DC4441" w:rsidRPr="00DC4441">
        <w:rPr>
          <w:rFonts w:ascii="Gill Sans MT" w:eastAsia="Gill Sans" w:hAnsi="Gill Sans MT" w:cs="Gill Sans"/>
          <w:sz w:val="22"/>
          <w:szCs w:val="22"/>
        </w:rPr>
        <w:t xml:space="preserve"> y seis socios invest</w:t>
      </w:r>
      <w:r w:rsidR="00DC4441">
        <w:rPr>
          <w:rFonts w:ascii="Gill Sans MT" w:eastAsia="Gill Sans" w:hAnsi="Gill Sans MT" w:cs="Gill Sans"/>
          <w:sz w:val="22"/>
          <w:szCs w:val="22"/>
        </w:rPr>
        <w:t>igadores principales admisibles</w:t>
      </w:r>
      <w:r w:rsidR="00DC4441" w:rsidRPr="00DC4441">
        <w:rPr>
          <w:rFonts w:ascii="Gill Sans MT" w:eastAsia="Gill Sans" w:hAnsi="Gill Sans MT" w:cs="Gill Sans"/>
          <w:sz w:val="22"/>
          <w:szCs w:val="22"/>
        </w:rPr>
        <w:t xml:space="preserve"> de al menos </w:t>
      </w:r>
      <w:r w:rsidR="0053005D">
        <w:rPr>
          <w:rFonts w:ascii="Gill Sans MT" w:eastAsia="Gill Sans" w:hAnsi="Gill Sans MT" w:cs="Gill Sans"/>
          <w:sz w:val="22"/>
          <w:szCs w:val="22"/>
        </w:rPr>
        <w:t>tres</w:t>
      </w:r>
      <w:r w:rsidR="00DC4441" w:rsidRPr="00DC4441">
        <w:rPr>
          <w:rFonts w:ascii="Gill Sans MT" w:eastAsia="Gill Sans" w:hAnsi="Gill Sans MT" w:cs="Gill Sans"/>
          <w:sz w:val="22"/>
          <w:szCs w:val="22"/>
        </w:rPr>
        <w:t xml:space="preserve"> países participantes diferentes</w:t>
      </w:r>
      <w:r w:rsidR="0053005D">
        <w:rPr>
          <w:rFonts w:ascii="Gill Sans MT" w:eastAsia="Gill Sans" w:hAnsi="Gill Sans MT" w:cs="Gill Sans"/>
          <w:sz w:val="22"/>
          <w:szCs w:val="22"/>
        </w:rPr>
        <w:t xml:space="preserve"> (dos de ellos estados miembros de la UE)</w:t>
      </w:r>
      <w:r w:rsidR="00DC4441" w:rsidRPr="00DC4441">
        <w:rPr>
          <w:rFonts w:ascii="Gill Sans MT" w:eastAsia="Gill Sans" w:hAnsi="Gill Sans MT" w:cs="Gill Sans"/>
          <w:sz w:val="22"/>
          <w:szCs w:val="22"/>
        </w:rPr>
        <w:t xml:space="preserve">. </w:t>
      </w:r>
      <w:r w:rsidR="00DC4441">
        <w:rPr>
          <w:rFonts w:ascii="Gill Sans MT" w:eastAsia="Gill Sans" w:hAnsi="Gill Sans MT" w:cs="Gill Sans"/>
          <w:sz w:val="22"/>
          <w:szCs w:val="22"/>
        </w:rPr>
        <w:t xml:space="preserve">La inclusión de grupos liderados por </w:t>
      </w:r>
      <w:r w:rsidR="004330F4" w:rsidRPr="00DC4441">
        <w:rPr>
          <w:rFonts w:ascii="Gill Sans MT" w:eastAsia="Gill Sans" w:hAnsi="Gill Sans MT" w:cs="Gill Sans"/>
          <w:sz w:val="22"/>
          <w:szCs w:val="22"/>
        </w:rPr>
        <w:t>investigador</w:t>
      </w:r>
      <w:r w:rsidR="004330F4">
        <w:rPr>
          <w:rFonts w:ascii="Gill Sans MT" w:eastAsia="Gill Sans" w:hAnsi="Gill Sans MT" w:cs="Gill Sans"/>
          <w:sz w:val="22"/>
          <w:szCs w:val="22"/>
        </w:rPr>
        <w:t>es</w:t>
      </w:r>
      <w:r w:rsidR="004330F4" w:rsidRPr="00DC4441">
        <w:rPr>
          <w:rFonts w:ascii="Gill Sans MT" w:eastAsia="Gill Sans" w:hAnsi="Gill Sans MT" w:cs="Gill Sans"/>
          <w:sz w:val="22"/>
          <w:szCs w:val="22"/>
        </w:rPr>
        <w:t xml:space="preserve"> novel (ECR</w:t>
      </w:r>
      <w:r w:rsidR="004330F4">
        <w:rPr>
          <w:rStyle w:val="Refdenotaalpie"/>
          <w:rFonts w:ascii="Gill Sans MT" w:eastAsia="Gill Sans" w:hAnsi="Gill Sans MT" w:cs="Gill Sans"/>
          <w:sz w:val="22"/>
          <w:szCs w:val="22"/>
        </w:rPr>
        <w:footnoteReference w:id="1"/>
      </w:r>
      <w:r w:rsidR="004330F4" w:rsidRPr="00DC4441">
        <w:rPr>
          <w:rFonts w:ascii="Gill Sans MT" w:eastAsia="Gill Sans" w:hAnsi="Gill Sans MT" w:cs="Gill Sans"/>
          <w:sz w:val="22"/>
          <w:szCs w:val="22"/>
        </w:rPr>
        <w:t>)</w:t>
      </w:r>
      <w:r w:rsidR="00F40A7C">
        <w:rPr>
          <w:rFonts w:ascii="Gill Sans MT" w:eastAsia="Gill Sans" w:hAnsi="Gill Sans MT" w:cs="Gill Sans"/>
          <w:sz w:val="22"/>
          <w:szCs w:val="22"/>
        </w:rPr>
        <w:t xml:space="preserve">, </w:t>
      </w:r>
      <w:r w:rsidR="00DC4441">
        <w:rPr>
          <w:rFonts w:ascii="Gill Sans MT" w:eastAsia="Gill Sans" w:hAnsi="Gill Sans MT" w:cs="Gill Sans"/>
          <w:sz w:val="22"/>
          <w:szCs w:val="22"/>
        </w:rPr>
        <w:t xml:space="preserve">de países considerados infrarrepresentados (en </w:t>
      </w:r>
      <w:r w:rsidR="00DC4441">
        <w:rPr>
          <w:rFonts w:ascii="Gill Sans MT" w:eastAsia="Gill Sans" w:hAnsi="Gill Sans MT" w:cs="Gill Sans"/>
          <w:b/>
          <w:sz w:val="22"/>
          <w:szCs w:val="22"/>
        </w:rPr>
        <w:t>negrita</w:t>
      </w:r>
      <w:r w:rsidR="00DC4441">
        <w:rPr>
          <w:rFonts w:ascii="Gill Sans MT" w:eastAsia="Gill Sans" w:hAnsi="Gill Sans MT" w:cs="Gill Sans"/>
          <w:sz w:val="22"/>
          <w:szCs w:val="22"/>
        </w:rPr>
        <w:t xml:space="preserve">) </w:t>
      </w:r>
      <w:r w:rsidR="00F40A7C">
        <w:rPr>
          <w:rFonts w:ascii="Gill Sans MT" w:eastAsia="Gill Sans" w:hAnsi="Gill Sans MT" w:cs="Gill Sans"/>
          <w:sz w:val="22"/>
          <w:szCs w:val="22"/>
        </w:rPr>
        <w:t xml:space="preserve">o de empresas </w:t>
      </w:r>
      <w:r w:rsidR="00DC4441">
        <w:rPr>
          <w:rFonts w:ascii="Gill Sans MT" w:eastAsia="Gill Sans" w:hAnsi="Gill Sans MT" w:cs="Gill Sans"/>
          <w:sz w:val="22"/>
          <w:szCs w:val="22"/>
        </w:rPr>
        <w:t xml:space="preserve">permitirá aumentar el tamaño del consorcio a </w:t>
      </w:r>
      <w:r w:rsidR="00F40A7C">
        <w:rPr>
          <w:rFonts w:ascii="Gill Sans MT" w:eastAsia="Gill Sans" w:hAnsi="Gill Sans MT" w:cs="Gill Sans"/>
          <w:sz w:val="22"/>
          <w:szCs w:val="22"/>
        </w:rPr>
        <w:t>siete</w:t>
      </w:r>
      <w:r w:rsidR="00DC4441">
        <w:rPr>
          <w:rFonts w:ascii="Gill Sans MT" w:eastAsia="Gill Sans" w:hAnsi="Gill Sans MT" w:cs="Gill Sans"/>
          <w:sz w:val="22"/>
          <w:szCs w:val="22"/>
        </w:rPr>
        <w:t>.</w:t>
      </w:r>
    </w:p>
    <w:p w:rsidR="00B35BAD" w:rsidRPr="009E1EAE" w:rsidRDefault="00B35BAD">
      <w:pPr>
        <w:jc w:val="both"/>
        <w:rPr>
          <w:rFonts w:ascii="Gill Sans MT" w:eastAsia="Gill Sans" w:hAnsi="Gill Sans MT" w:cs="Gill Sans"/>
          <w:b/>
          <w:sz w:val="22"/>
          <w:szCs w:val="22"/>
        </w:rPr>
      </w:pPr>
    </w:p>
    <w:p w:rsidR="00242F6D" w:rsidRPr="00F40A7C" w:rsidRDefault="005245C8">
      <w:pPr>
        <w:jc w:val="both"/>
        <w:rPr>
          <w:rFonts w:ascii="Gill Sans MT" w:eastAsia="Gill Sans" w:hAnsi="Gill Sans MT" w:cs="Gill Sans"/>
          <w:sz w:val="22"/>
          <w:szCs w:val="22"/>
        </w:rPr>
      </w:pPr>
      <w:r w:rsidRPr="00F40A7C">
        <w:rPr>
          <w:rFonts w:ascii="Gill Sans MT" w:eastAsia="Gill Sans" w:hAnsi="Gill Sans MT" w:cs="Gill Sans"/>
          <w:b/>
          <w:sz w:val="22"/>
          <w:szCs w:val="22"/>
        </w:rPr>
        <w:t>Participantes:</w:t>
      </w:r>
      <w:r w:rsidR="00013E04" w:rsidRPr="00F40A7C">
        <w:rPr>
          <w:rFonts w:ascii="Gill Sans MT" w:eastAsia="Gill Sans" w:hAnsi="Gill Sans MT" w:cs="Gill Sans"/>
          <w:b/>
          <w:sz w:val="22"/>
          <w:szCs w:val="22"/>
        </w:rPr>
        <w:t xml:space="preserve"> </w:t>
      </w:r>
      <w:r w:rsidR="00F40A7C" w:rsidRPr="00F40A7C">
        <w:rPr>
          <w:rFonts w:ascii="Gill Sans MT" w:eastAsia="Gill Sans" w:hAnsi="Gill Sans MT" w:cs="Gill Sans"/>
          <w:sz w:val="22"/>
          <w:szCs w:val="22"/>
        </w:rPr>
        <w:t xml:space="preserve">Alemania, Austria, Bélgica, Canadá, </w:t>
      </w:r>
      <w:r w:rsidR="00F40A7C" w:rsidRPr="00F40A7C">
        <w:rPr>
          <w:rFonts w:ascii="Gill Sans MT" w:eastAsia="Gill Sans" w:hAnsi="Gill Sans MT" w:cs="Gill Sans"/>
          <w:b/>
          <w:sz w:val="22"/>
          <w:szCs w:val="22"/>
        </w:rPr>
        <w:t>Chequia</w:t>
      </w:r>
      <w:r w:rsidR="00F40A7C" w:rsidRPr="00F40A7C">
        <w:rPr>
          <w:rFonts w:ascii="Gill Sans MT" w:eastAsia="Gill Sans" w:hAnsi="Gill Sans MT" w:cs="Gill Sans"/>
          <w:sz w:val="22"/>
          <w:szCs w:val="22"/>
        </w:rPr>
        <w:t xml:space="preserve">, Dinamarca, </w:t>
      </w:r>
      <w:r w:rsidR="00F40A7C" w:rsidRPr="00F40A7C">
        <w:rPr>
          <w:rFonts w:ascii="Gill Sans MT" w:eastAsia="Gill Sans" w:hAnsi="Gill Sans MT" w:cs="Gill Sans"/>
          <w:b/>
          <w:sz w:val="22"/>
          <w:szCs w:val="22"/>
        </w:rPr>
        <w:t>Eslovaquia</w:t>
      </w:r>
      <w:r w:rsidR="00F40A7C">
        <w:rPr>
          <w:rFonts w:ascii="Gill Sans MT" w:eastAsia="Gill Sans" w:hAnsi="Gill Sans MT" w:cs="Gill Sans"/>
          <w:sz w:val="22"/>
          <w:szCs w:val="22"/>
        </w:rPr>
        <w:t xml:space="preserve">, España, </w:t>
      </w:r>
      <w:r w:rsidR="00F40A7C" w:rsidRPr="00F40A7C">
        <w:rPr>
          <w:rFonts w:ascii="Gill Sans MT" w:eastAsia="Gill Sans" w:hAnsi="Gill Sans MT" w:cs="Gill Sans"/>
          <w:b/>
          <w:sz w:val="22"/>
          <w:szCs w:val="22"/>
        </w:rPr>
        <w:t>Estonia</w:t>
      </w:r>
      <w:r w:rsidR="00F40A7C" w:rsidRPr="00F40A7C">
        <w:rPr>
          <w:rFonts w:ascii="Gill Sans MT" w:eastAsia="Gill Sans" w:hAnsi="Gill Sans MT" w:cs="Gill Sans"/>
          <w:sz w:val="22"/>
          <w:szCs w:val="22"/>
        </w:rPr>
        <w:t>, Finlandia, Francia,</w:t>
      </w:r>
      <w:r w:rsidRPr="00F40A7C">
        <w:rPr>
          <w:rFonts w:ascii="Gill Sans MT" w:eastAsia="Gill Sans" w:hAnsi="Gill Sans MT" w:cs="Gill Sans"/>
          <w:sz w:val="22"/>
          <w:szCs w:val="22"/>
        </w:rPr>
        <w:t xml:space="preserve"> </w:t>
      </w:r>
      <w:r w:rsidR="00F40A7C" w:rsidRPr="00F40A7C">
        <w:rPr>
          <w:rFonts w:ascii="Gill Sans MT" w:eastAsia="Gill Sans" w:hAnsi="Gill Sans MT" w:cs="Gill Sans"/>
          <w:b/>
          <w:sz w:val="22"/>
          <w:szCs w:val="22"/>
        </w:rPr>
        <w:t>Hungría</w:t>
      </w:r>
      <w:r w:rsidR="00F40A7C" w:rsidRPr="00F40A7C">
        <w:rPr>
          <w:rFonts w:ascii="Gill Sans MT" w:eastAsia="Gill Sans" w:hAnsi="Gill Sans MT" w:cs="Gill Sans"/>
          <w:sz w:val="22"/>
          <w:szCs w:val="22"/>
        </w:rPr>
        <w:t xml:space="preserve">, Irlanda, Israel, Italia, </w:t>
      </w:r>
      <w:r w:rsidR="00F40A7C" w:rsidRPr="00F40A7C">
        <w:rPr>
          <w:rFonts w:ascii="Gill Sans MT" w:eastAsia="Gill Sans" w:hAnsi="Gill Sans MT" w:cs="Gill Sans"/>
          <w:b/>
          <w:sz w:val="22"/>
          <w:szCs w:val="22"/>
        </w:rPr>
        <w:t>Letonia</w:t>
      </w:r>
      <w:r w:rsidR="00F40A7C" w:rsidRPr="00F40A7C">
        <w:rPr>
          <w:rFonts w:ascii="Gill Sans MT" w:eastAsia="Gill Sans" w:hAnsi="Gill Sans MT" w:cs="Gill Sans"/>
          <w:sz w:val="22"/>
          <w:szCs w:val="22"/>
        </w:rPr>
        <w:t>,</w:t>
      </w:r>
      <w:r w:rsidR="00F40A7C" w:rsidRPr="00F40A7C">
        <w:rPr>
          <w:rFonts w:ascii="Gill Sans MT" w:eastAsia="Gill Sans" w:hAnsi="Gill Sans MT" w:cs="Gill Sans"/>
          <w:b/>
          <w:sz w:val="22"/>
          <w:szCs w:val="22"/>
        </w:rPr>
        <w:t xml:space="preserve"> Lituania</w:t>
      </w:r>
      <w:r w:rsidR="00F40A7C" w:rsidRPr="00F40A7C">
        <w:rPr>
          <w:rFonts w:ascii="Gill Sans MT" w:eastAsia="Gill Sans" w:hAnsi="Gill Sans MT" w:cs="Gill Sans"/>
          <w:sz w:val="22"/>
          <w:szCs w:val="22"/>
        </w:rPr>
        <w:t xml:space="preserve">, </w:t>
      </w:r>
      <w:r w:rsidR="00F40A7C" w:rsidRPr="00F40A7C">
        <w:rPr>
          <w:rFonts w:ascii="Gill Sans MT" w:eastAsia="Gill Sans" w:hAnsi="Gill Sans MT" w:cs="Gill Sans"/>
          <w:b/>
          <w:sz w:val="22"/>
          <w:szCs w:val="22"/>
        </w:rPr>
        <w:t>Malta</w:t>
      </w:r>
      <w:r w:rsidR="00F40A7C" w:rsidRPr="00F40A7C">
        <w:rPr>
          <w:rFonts w:ascii="Gill Sans MT" w:eastAsia="Gill Sans" w:hAnsi="Gill Sans MT" w:cs="Gill Sans"/>
          <w:sz w:val="22"/>
          <w:szCs w:val="22"/>
        </w:rPr>
        <w:t>,</w:t>
      </w:r>
      <w:r w:rsidR="00F40A7C" w:rsidRPr="00F40A7C">
        <w:rPr>
          <w:rFonts w:ascii="Gill Sans MT" w:eastAsia="Gill Sans" w:hAnsi="Gill Sans MT" w:cs="Gill Sans"/>
          <w:b/>
          <w:sz w:val="22"/>
          <w:szCs w:val="22"/>
        </w:rPr>
        <w:t xml:space="preserve"> Moldavia</w:t>
      </w:r>
      <w:r w:rsidR="00F40A7C" w:rsidRPr="00F40A7C">
        <w:rPr>
          <w:rFonts w:ascii="Gill Sans MT" w:eastAsia="Gill Sans" w:hAnsi="Gill Sans MT" w:cs="Gill Sans"/>
          <w:sz w:val="22"/>
          <w:szCs w:val="22"/>
        </w:rPr>
        <w:t xml:space="preserve">, </w:t>
      </w:r>
      <w:r w:rsidR="00F40A7C">
        <w:rPr>
          <w:rFonts w:ascii="Gill Sans MT" w:eastAsia="Gill Sans" w:hAnsi="Gill Sans MT" w:cs="Gill Sans"/>
          <w:sz w:val="22"/>
          <w:szCs w:val="22"/>
        </w:rPr>
        <w:t xml:space="preserve">Noruega, </w:t>
      </w:r>
      <w:r w:rsidR="00F40A7C" w:rsidRPr="00F40A7C">
        <w:rPr>
          <w:rFonts w:ascii="Gill Sans MT" w:eastAsia="Gill Sans" w:hAnsi="Gill Sans MT" w:cs="Gill Sans"/>
          <w:sz w:val="22"/>
          <w:szCs w:val="22"/>
        </w:rPr>
        <w:t xml:space="preserve">Países Bajos, </w:t>
      </w:r>
      <w:r w:rsidR="00F40A7C" w:rsidRPr="00F40A7C">
        <w:rPr>
          <w:rFonts w:ascii="Gill Sans MT" w:eastAsia="Gill Sans" w:hAnsi="Gill Sans MT" w:cs="Gill Sans"/>
          <w:b/>
          <w:sz w:val="22"/>
          <w:szCs w:val="22"/>
        </w:rPr>
        <w:t>Polonia</w:t>
      </w:r>
      <w:r w:rsidR="00F40A7C">
        <w:rPr>
          <w:rFonts w:ascii="Gill Sans MT" w:eastAsia="Gill Sans" w:hAnsi="Gill Sans MT" w:cs="Gill Sans"/>
          <w:sz w:val="22"/>
          <w:szCs w:val="22"/>
        </w:rPr>
        <w:t xml:space="preserve">, Portugal, Reino Unido, Sudáfrica, Suecia, Suiza, Turquía, </w:t>
      </w:r>
    </w:p>
    <w:p w:rsidR="00242F6D" w:rsidRPr="00F40A7C" w:rsidRDefault="00242F6D">
      <w:pPr>
        <w:jc w:val="both"/>
        <w:rPr>
          <w:rFonts w:ascii="Gill Sans MT" w:eastAsia="Gill Sans" w:hAnsi="Gill Sans MT" w:cs="Gill Sans"/>
          <w:b/>
          <w:sz w:val="22"/>
          <w:szCs w:val="22"/>
        </w:rPr>
      </w:pPr>
    </w:p>
    <w:p w:rsidR="00242F6D" w:rsidRPr="00F40A7C" w:rsidRDefault="005245C8">
      <w:pPr>
        <w:jc w:val="both"/>
        <w:rPr>
          <w:rFonts w:ascii="Gill Sans MT" w:eastAsia="Gill Sans" w:hAnsi="Gill Sans MT" w:cs="Gill Sans"/>
          <w:sz w:val="22"/>
          <w:szCs w:val="22"/>
        </w:rPr>
      </w:pPr>
      <w:r w:rsidRPr="009E1EAE">
        <w:rPr>
          <w:rFonts w:ascii="Gill Sans MT" w:eastAsia="Gill Sans" w:hAnsi="Gill Sans MT" w:cs="Gill Sans"/>
          <w:b/>
          <w:sz w:val="22"/>
          <w:szCs w:val="22"/>
        </w:rPr>
        <w:t xml:space="preserve">Financiación: </w:t>
      </w:r>
      <w:r w:rsidRPr="009E1EAE">
        <w:rPr>
          <w:rFonts w:ascii="Gill Sans MT" w:eastAsia="Gill Sans" w:hAnsi="Gill Sans MT" w:cs="Gill Sans"/>
          <w:sz w:val="22"/>
          <w:szCs w:val="22"/>
        </w:rPr>
        <w:t xml:space="preserve">Las condiciones de financiación varían por país y tipo de entidad participante. </w:t>
      </w:r>
      <w:r w:rsidR="00F40A7C">
        <w:rPr>
          <w:rFonts w:ascii="Gill Sans MT" w:eastAsia="Gill Sans" w:hAnsi="Gill Sans MT" w:cs="Gill Sans"/>
          <w:sz w:val="22"/>
          <w:szCs w:val="22"/>
          <w:u w:val="single"/>
        </w:rPr>
        <w:t>Para toda España</w:t>
      </w:r>
      <w:r w:rsidR="00F40A7C">
        <w:rPr>
          <w:rFonts w:ascii="Gill Sans MT" w:eastAsia="Gill Sans" w:hAnsi="Gill Sans MT" w:cs="Gill Sans"/>
          <w:sz w:val="22"/>
          <w:szCs w:val="22"/>
        </w:rPr>
        <w:t xml:space="preserve"> financian el ISCIII y la AEI.</w:t>
      </w:r>
    </w:p>
    <w:p w:rsidR="002F5534" w:rsidRPr="009E1EAE" w:rsidRDefault="002F5534">
      <w:pPr>
        <w:jc w:val="both"/>
        <w:rPr>
          <w:rFonts w:ascii="Gill Sans MT" w:eastAsia="Gill Sans" w:hAnsi="Gill Sans MT" w:cs="Gill Sans"/>
          <w:b/>
          <w:sz w:val="22"/>
          <w:szCs w:val="22"/>
        </w:rPr>
      </w:pPr>
    </w:p>
    <w:p w:rsidR="00F40A7C" w:rsidRDefault="00F40A7C">
      <w:pPr>
        <w:rPr>
          <w:rFonts w:ascii="Gill Sans MT" w:eastAsia="Gill Sans" w:hAnsi="Gill Sans MT" w:cs="Gill Sans"/>
          <w:b/>
          <w:color w:val="000000"/>
          <w:sz w:val="22"/>
          <w:szCs w:val="22"/>
        </w:rPr>
      </w:pPr>
      <w:r>
        <w:rPr>
          <w:rFonts w:ascii="Gill Sans MT" w:eastAsia="Gill Sans" w:hAnsi="Gill Sans MT" w:cs="Gill Sans"/>
          <w:b/>
          <w:color w:val="000000"/>
          <w:sz w:val="22"/>
          <w:szCs w:val="22"/>
        </w:rPr>
        <w:br w:type="page"/>
      </w:r>
    </w:p>
    <w:p w:rsidR="00242F6D" w:rsidRPr="009E1EAE" w:rsidRDefault="005245C8">
      <w:pPr>
        <w:jc w:val="both"/>
        <w:rPr>
          <w:rFonts w:ascii="Gill Sans MT" w:eastAsia="Gill Sans" w:hAnsi="Gill Sans MT" w:cs="Gill Sans"/>
          <w:sz w:val="22"/>
          <w:szCs w:val="22"/>
        </w:rPr>
      </w:pPr>
      <w:r w:rsidRPr="009E1EAE">
        <w:rPr>
          <w:rFonts w:ascii="Gill Sans MT" w:eastAsia="Gill Sans" w:hAnsi="Gill Sans MT" w:cs="Gill Sans"/>
          <w:b/>
          <w:color w:val="000000"/>
          <w:sz w:val="22"/>
          <w:szCs w:val="22"/>
        </w:rPr>
        <w:t>Más información:</w:t>
      </w:r>
      <w:r w:rsidRPr="009E1EAE">
        <w:rPr>
          <w:rFonts w:ascii="Gill Sans MT" w:eastAsia="Gill Sans" w:hAnsi="Gill Sans MT" w:cs="Gill Sans"/>
          <w:sz w:val="22"/>
          <w:szCs w:val="22"/>
        </w:rPr>
        <w:t xml:space="preserve"> </w:t>
      </w:r>
    </w:p>
    <w:p w:rsidR="00242F6D" w:rsidRDefault="005245C8">
      <w:pPr>
        <w:jc w:val="both"/>
        <w:rPr>
          <w:rFonts w:ascii="Gill Sans MT" w:eastAsia="Gill Sans" w:hAnsi="Gill Sans MT" w:cs="Gill Sans"/>
          <w:sz w:val="22"/>
          <w:szCs w:val="22"/>
        </w:rPr>
      </w:pPr>
      <w:r w:rsidRPr="009E1EAE">
        <w:rPr>
          <w:rFonts w:ascii="Gill Sans MT" w:eastAsia="Gill Sans" w:hAnsi="Gill Sans MT" w:cs="Gill Sans"/>
          <w:sz w:val="22"/>
          <w:szCs w:val="22"/>
        </w:rPr>
        <w:t>Ponerse en contacto con la Plataforma de Internacionalización de IdiPAZ</w:t>
      </w:r>
      <w:r w:rsidR="000B00BB" w:rsidRPr="000B00BB">
        <w:rPr>
          <w:rFonts w:ascii="Gill Sans MT" w:eastAsia="Gill Sans" w:hAnsi="Gill Sans MT" w:cs="Gill Sans"/>
          <w:b/>
          <w:sz w:val="22"/>
          <w:szCs w:val="22"/>
        </w:rPr>
        <w:t xml:space="preserve">, antes del </w:t>
      </w:r>
      <w:r w:rsidR="00D84180">
        <w:rPr>
          <w:rFonts w:ascii="Gill Sans MT" w:eastAsia="Gill Sans" w:hAnsi="Gill Sans MT" w:cs="Gill Sans"/>
          <w:b/>
          <w:sz w:val="22"/>
          <w:szCs w:val="22"/>
        </w:rPr>
        <w:t>30 de diciembre de 2025.</w:t>
      </w:r>
    </w:p>
    <w:p w:rsidR="00801F77" w:rsidRDefault="00801F77">
      <w:pPr>
        <w:jc w:val="both"/>
        <w:rPr>
          <w:rFonts w:ascii="Gill Sans MT" w:eastAsia="Gill Sans" w:hAnsi="Gill Sans MT" w:cs="Gill Sans"/>
          <w:sz w:val="22"/>
          <w:szCs w:val="22"/>
        </w:rPr>
      </w:pPr>
      <w:r>
        <w:rPr>
          <w:rFonts w:ascii="Gill Sans MT" w:eastAsia="Gill Sans" w:hAnsi="Gill Sans MT" w:cs="Gill Sans"/>
          <w:sz w:val="22"/>
          <w:szCs w:val="22"/>
        </w:rPr>
        <w:t xml:space="preserve">La convocatoria tendrá un </w:t>
      </w:r>
      <w:proofErr w:type="spellStart"/>
      <w:r>
        <w:rPr>
          <w:rFonts w:ascii="Gill Sans MT" w:eastAsia="Gill Sans" w:hAnsi="Gill Sans MT" w:cs="Gill Sans"/>
          <w:sz w:val="22"/>
          <w:szCs w:val="22"/>
        </w:rPr>
        <w:t>webinario</w:t>
      </w:r>
      <w:proofErr w:type="spellEnd"/>
      <w:r>
        <w:rPr>
          <w:rFonts w:ascii="Gill Sans MT" w:eastAsia="Gill Sans" w:hAnsi="Gill Sans MT" w:cs="Gill Sans"/>
          <w:sz w:val="22"/>
          <w:szCs w:val="22"/>
        </w:rPr>
        <w:t xml:space="preserve"> informativo, en inglés, el día </w:t>
      </w:r>
      <w:r w:rsidR="00F40A7C">
        <w:rPr>
          <w:rFonts w:ascii="Gill Sans MT" w:eastAsia="Gill Sans" w:hAnsi="Gill Sans MT" w:cs="Gill Sans"/>
          <w:sz w:val="22"/>
          <w:szCs w:val="22"/>
        </w:rPr>
        <w:t>2</w:t>
      </w:r>
      <w:r w:rsidR="000B00BB">
        <w:rPr>
          <w:rFonts w:ascii="Gill Sans MT" w:eastAsia="Gill Sans" w:hAnsi="Gill Sans MT" w:cs="Gill Sans"/>
          <w:sz w:val="22"/>
          <w:szCs w:val="22"/>
        </w:rPr>
        <w:t>6</w:t>
      </w:r>
      <w:r w:rsidR="00F40A7C">
        <w:rPr>
          <w:rFonts w:ascii="Gill Sans MT" w:eastAsia="Gill Sans" w:hAnsi="Gill Sans MT" w:cs="Gill Sans"/>
          <w:sz w:val="22"/>
          <w:szCs w:val="22"/>
        </w:rPr>
        <w:t xml:space="preserve"> de noviembre </w:t>
      </w:r>
      <w:r>
        <w:rPr>
          <w:rFonts w:ascii="Gill Sans MT" w:eastAsia="Gill Sans" w:hAnsi="Gill Sans MT" w:cs="Gill Sans"/>
          <w:sz w:val="22"/>
          <w:szCs w:val="22"/>
        </w:rPr>
        <w:t>202</w:t>
      </w:r>
      <w:r w:rsidR="000B00BB">
        <w:rPr>
          <w:rFonts w:ascii="Gill Sans MT" w:eastAsia="Gill Sans" w:hAnsi="Gill Sans MT" w:cs="Gill Sans"/>
          <w:sz w:val="22"/>
          <w:szCs w:val="22"/>
        </w:rPr>
        <w:t>5</w:t>
      </w:r>
      <w:r>
        <w:rPr>
          <w:rFonts w:ascii="Gill Sans MT" w:eastAsia="Gill Sans" w:hAnsi="Gill Sans MT" w:cs="Gill Sans"/>
          <w:sz w:val="22"/>
          <w:szCs w:val="22"/>
        </w:rPr>
        <w:t>.</w:t>
      </w:r>
      <w:r w:rsidR="000B00BB">
        <w:rPr>
          <w:rFonts w:ascii="Gill Sans MT" w:eastAsia="Gill Sans" w:hAnsi="Gill Sans MT" w:cs="Gill Sans"/>
          <w:sz w:val="22"/>
          <w:szCs w:val="22"/>
        </w:rPr>
        <w:t xml:space="preserve"> </w:t>
      </w:r>
      <w:r w:rsidR="00F40A7C">
        <w:rPr>
          <w:rFonts w:ascii="Gill Sans MT" w:eastAsia="Gill Sans" w:hAnsi="Gill Sans MT" w:cs="Gill Sans"/>
          <w:sz w:val="22"/>
          <w:szCs w:val="22"/>
        </w:rPr>
        <w:t xml:space="preserve">La inscripción se hace en </w:t>
      </w:r>
      <w:hyperlink r:id="rId9" w:history="1">
        <w:r w:rsidR="00F40A7C" w:rsidRPr="007C27FB">
          <w:rPr>
            <w:rStyle w:val="Hipervnculo"/>
            <w:rFonts w:ascii="Gill Sans MT" w:eastAsia="Gill Sans" w:hAnsi="Gill Sans MT" w:cs="Gill Sans"/>
            <w:sz w:val="22"/>
            <w:szCs w:val="22"/>
          </w:rPr>
          <w:t>https://sv-se.eu.invajo.com/event/eupohamr/webinarforapplicants</w:t>
        </w:r>
      </w:hyperlink>
      <w:r w:rsidR="00F40A7C">
        <w:rPr>
          <w:rFonts w:ascii="Gill Sans MT" w:eastAsia="Gill Sans" w:hAnsi="Gill Sans MT" w:cs="Gill Sans"/>
          <w:sz w:val="22"/>
          <w:szCs w:val="22"/>
        </w:rPr>
        <w:t xml:space="preserve"> </w:t>
      </w:r>
    </w:p>
    <w:p w:rsidR="002F5534" w:rsidRPr="009E1EAE" w:rsidRDefault="00F40A7C">
      <w:pPr>
        <w:jc w:val="both"/>
        <w:rPr>
          <w:rFonts w:ascii="Gill Sans MT" w:eastAsia="Gill Sans" w:hAnsi="Gill Sans MT" w:cs="Gill Sans"/>
          <w:sz w:val="22"/>
          <w:szCs w:val="22"/>
        </w:rPr>
      </w:pPr>
      <w:hyperlink r:id="rId10" w:history="1">
        <w:r>
          <w:rPr>
            <w:rStyle w:val="Hipervnculo"/>
            <w:rFonts w:ascii="Gill Sans MT" w:eastAsia="Gill Sans" w:hAnsi="Gill Sans MT" w:cs="Gill Sans"/>
            <w:sz w:val="22"/>
            <w:szCs w:val="22"/>
          </w:rPr>
          <w:t>Texto íntegro del pre-anuncio</w:t>
        </w:r>
      </w:hyperlink>
      <w:r w:rsidR="002F5534">
        <w:rPr>
          <w:rFonts w:ascii="Gill Sans MT" w:eastAsia="Gill Sans" w:hAnsi="Gill Sans MT" w:cs="Gill Sans"/>
          <w:sz w:val="22"/>
          <w:szCs w:val="22"/>
        </w:rPr>
        <w:t>.</w:t>
      </w:r>
    </w:p>
    <w:sectPr w:rsidR="002F5534" w:rsidRPr="009E1EA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565" w:rsidRDefault="005245C8">
      <w:r>
        <w:separator/>
      </w:r>
    </w:p>
  </w:endnote>
  <w:endnote w:type="continuationSeparator" w:id="0">
    <w:p w:rsidR="00425565" w:rsidRDefault="0052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F6D" w:rsidRPr="00977709" w:rsidRDefault="00242F6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Gill Sans MT" w:hAnsi="Gill Sans MT"/>
        <w:color w:val="000000"/>
      </w:rPr>
    </w:pPr>
  </w:p>
  <w:tbl>
    <w:tblPr>
      <w:tblStyle w:val="a1"/>
      <w:tblW w:w="8473" w:type="dxa"/>
      <w:tblInd w:w="108" w:type="dxa"/>
      <w:tblBorders>
        <w:top w:val="single" w:sz="24" w:space="0" w:color="999999"/>
      </w:tblBorders>
      <w:tblLayout w:type="fixed"/>
      <w:tblLook w:val="0000" w:firstRow="0" w:lastRow="0" w:firstColumn="0" w:lastColumn="0" w:noHBand="0" w:noVBand="0"/>
    </w:tblPr>
    <w:tblGrid>
      <w:gridCol w:w="8473"/>
    </w:tblGrid>
    <w:tr w:rsidR="00242F6D" w:rsidRPr="00977709">
      <w:trPr>
        <w:trHeight w:val="240"/>
      </w:trPr>
      <w:tc>
        <w:tcPr>
          <w:tcW w:w="8473" w:type="dxa"/>
          <w:tcBorders>
            <w:top w:val="single" w:sz="24" w:space="0" w:color="999999"/>
          </w:tcBorders>
        </w:tcPr>
        <w:p w:rsidR="00242F6D" w:rsidRPr="00977709" w:rsidRDefault="00F40A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Gill Sans MT" w:eastAsia="Gill Sans" w:hAnsi="Gill Sans MT" w:cs="Gill Sans"/>
              <w:color w:val="999999"/>
              <w:sz w:val="18"/>
              <w:szCs w:val="18"/>
            </w:rPr>
          </w:pPr>
          <w:hyperlink r:id="rId1">
            <w:r w:rsidR="005245C8" w:rsidRPr="00977709">
              <w:rPr>
                <w:rFonts w:ascii="Gill Sans MT" w:eastAsia="Gill Sans" w:hAnsi="Gill Sans MT" w:cs="Gill Sans"/>
                <w:color w:val="1155CC"/>
                <w:sz w:val="18"/>
                <w:szCs w:val="18"/>
                <w:u w:val="single"/>
              </w:rPr>
              <w:t>www.idipaz.es</w:t>
            </w:r>
          </w:hyperlink>
        </w:p>
        <w:p w:rsidR="00242F6D" w:rsidRPr="00977709" w:rsidRDefault="00524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right"/>
            <w:rPr>
              <w:rFonts w:ascii="Gill Sans MT" w:eastAsia="Gill Sans" w:hAnsi="Gill Sans MT" w:cs="Gill Sans"/>
              <w:color w:val="999999"/>
              <w:sz w:val="18"/>
              <w:szCs w:val="18"/>
            </w:rPr>
          </w:pPr>
          <w:r w:rsidRPr="00977709"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begin"/>
          </w:r>
          <w:r w:rsidRPr="00977709">
            <w:rPr>
              <w:rFonts w:ascii="Gill Sans MT" w:eastAsia="Gill Sans" w:hAnsi="Gill Sans MT" w:cs="Gill Sans"/>
              <w:color w:val="999999"/>
              <w:sz w:val="18"/>
              <w:szCs w:val="18"/>
            </w:rPr>
            <w:instrText>PAGE</w:instrText>
          </w:r>
          <w:r w:rsidRPr="00977709"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separate"/>
          </w:r>
          <w:r w:rsidR="00F40A7C">
            <w:rPr>
              <w:rFonts w:ascii="Gill Sans MT" w:eastAsia="Gill Sans" w:hAnsi="Gill Sans MT" w:cs="Gill Sans"/>
              <w:noProof/>
              <w:color w:val="999999"/>
              <w:sz w:val="18"/>
              <w:szCs w:val="18"/>
            </w:rPr>
            <w:t>2</w:t>
          </w:r>
          <w:r w:rsidRPr="00977709"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end"/>
          </w:r>
        </w:p>
      </w:tc>
    </w:tr>
  </w:tbl>
  <w:p w:rsidR="00242F6D" w:rsidRPr="00977709" w:rsidRDefault="00242F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ill Sans MT" w:hAnsi="Gill Sans MT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565" w:rsidRDefault="005245C8">
      <w:r>
        <w:separator/>
      </w:r>
    </w:p>
  </w:footnote>
  <w:footnote w:type="continuationSeparator" w:id="0">
    <w:p w:rsidR="00425565" w:rsidRDefault="005245C8">
      <w:r>
        <w:continuationSeparator/>
      </w:r>
    </w:p>
  </w:footnote>
  <w:footnote w:id="1">
    <w:p w:rsidR="004330F4" w:rsidRPr="009D154B" w:rsidRDefault="004330F4" w:rsidP="004330F4">
      <w:pPr>
        <w:pStyle w:val="Textonotapie"/>
        <w:rPr>
          <w:rFonts w:ascii="Gill Sans MT" w:hAnsi="Gill Sans MT"/>
        </w:rPr>
      </w:pPr>
      <w:r w:rsidRPr="009D154B">
        <w:rPr>
          <w:rStyle w:val="Refdenotaalpie"/>
          <w:rFonts w:ascii="Gill Sans MT" w:hAnsi="Gill Sans MT"/>
        </w:rPr>
        <w:footnoteRef/>
      </w:r>
      <w:r w:rsidRPr="009D154B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Investigadores con menos de </w:t>
      </w:r>
      <w:r w:rsidR="00F40A7C">
        <w:rPr>
          <w:rFonts w:ascii="Gill Sans MT" w:hAnsi="Gill Sans MT"/>
        </w:rPr>
        <w:t>ocho</w:t>
      </w:r>
      <w:r>
        <w:rPr>
          <w:rFonts w:ascii="Gill Sans MT" w:hAnsi="Gill Sans MT"/>
        </w:rPr>
        <w:t xml:space="preserve"> añ</w:t>
      </w:r>
      <w:r w:rsidR="00F40A7C">
        <w:rPr>
          <w:rFonts w:ascii="Gill Sans MT" w:hAnsi="Gill Sans MT"/>
        </w:rPr>
        <w:t>os desde la obtención de su PhD.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F6D" w:rsidRPr="009E1EAE" w:rsidRDefault="00242F6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Gill Sans MT" w:eastAsia="Gill Sans" w:hAnsi="Gill Sans MT" w:cs="Gill Sans"/>
        <w:sz w:val="22"/>
        <w:szCs w:val="22"/>
      </w:rPr>
    </w:pPr>
  </w:p>
  <w:tbl>
    <w:tblPr>
      <w:tblStyle w:val="a0"/>
      <w:tblW w:w="8504" w:type="dxa"/>
      <w:tblInd w:w="0" w:type="dxa"/>
      <w:tblBorders>
        <w:insideV w:val="single" w:sz="36" w:space="0" w:color="999999"/>
      </w:tblBorders>
      <w:tblLayout w:type="fixed"/>
      <w:tblLook w:val="0000" w:firstRow="0" w:lastRow="0" w:firstColumn="0" w:lastColumn="0" w:noHBand="0" w:noVBand="0"/>
    </w:tblPr>
    <w:tblGrid>
      <w:gridCol w:w="1725"/>
      <w:gridCol w:w="5105"/>
      <w:gridCol w:w="1674"/>
    </w:tblGrid>
    <w:tr w:rsidR="00242F6D" w:rsidRPr="009E1EAE">
      <w:trPr>
        <w:trHeight w:val="700"/>
      </w:trPr>
      <w:tc>
        <w:tcPr>
          <w:tcW w:w="1725" w:type="dxa"/>
        </w:tcPr>
        <w:p w:rsidR="00242F6D" w:rsidRPr="009E1EAE" w:rsidRDefault="00524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000000"/>
            </w:rPr>
          </w:pPr>
          <w:r w:rsidRPr="009E1EAE">
            <w:rPr>
              <w:rFonts w:ascii="Gill Sans MT" w:eastAsia="Gill Sans" w:hAnsi="Gill Sans MT" w:cs="Gill Sans"/>
              <w:noProof/>
              <w:color w:val="000000"/>
            </w:rPr>
            <w:drawing>
              <wp:inline distT="0" distB="0" distL="0" distR="0">
                <wp:extent cx="866775" cy="447675"/>
                <wp:effectExtent l="0" t="0" r="0" b="0"/>
                <wp:docPr id="3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67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5" w:type="dxa"/>
          <w:tcBorders>
            <w:right w:val="single" w:sz="4" w:space="0" w:color="FFFFFF"/>
          </w:tcBorders>
          <w:vAlign w:val="center"/>
        </w:tcPr>
        <w:p w:rsidR="00242F6D" w:rsidRPr="009E1EAE" w:rsidRDefault="00524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 w:rsidRPr="009E1EAE"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Hospital Universitario La Paz</w:t>
          </w:r>
        </w:p>
        <w:p w:rsidR="00242F6D" w:rsidRPr="009E1EAE" w:rsidRDefault="00524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 w:rsidRPr="009E1EAE"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Paseo de La Castellana, 261</w:t>
          </w:r>
        </w:p>
        <w:p w:rsidR="00242F6D" w:rsidRPr="009E1EAE" w:rsidRDefault="00524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 w:rsidRPr="009E1EAE"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Edificio Norte, 4ªPlanta</w:t>
          </w:r>
        </w:p>
        <w:p w:rsidR="00242F6D" w:rsidRPr="009E1EAE" w:rsidRDefault="00524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000000"/>
              <w:sz w:val="20"/>
              <w:szCs w:val="20"/>
            </w:rPr>
          </w:pPr>
          <w:r w:rsidRPr="009E1EAE"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28046 - Madrid</w:t>
          </w:r>
        </w:p>
      </w:tc>
      <w:tc>
        <w:tcPr>
          <w:tcW w:w="1674" w:type="dxa"/>
          <w:tcBorders>
            <w:left w:val="single" w:sz="4" w:space="0" w:color="FFFFFF"/>
          </w:tcBorders>
          <w:vAlign w:val="center"/>
        </w:tcPr>
        <w:p w:rsidR="00242F6D" w:rsidRPr="009E1EAE" w:rsidRDefault="005245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Gill Sans MT" w:eastAsia="Gill Sans" w:hAnsi="Gill Sans MT" w:cs="Gill Sans"/>
              <w:color w:val="000000"/>
              <w:sz w:val="20"/>
              <w:szCs w:val="20"/>
            </w:rPr>
          </w:pPr>
          <w:r w:rsidRPr="009E1EAE">
            <w:rPr>
              <w:rFonts w:ascii="Gill Sans MT" w:hAnsi="Gill Sans MT"/>
              <w:noProof/>
              <w:color w:val="000000"/>
            </w:rPr>
            <w:drawing>
              <wp:inline distT="0" distB="0" distL="114300" distR="114300">
                <wp:extent cx="541655" cy="541655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655" cy="5416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42F6D" w:rsidRPr="009E1EAE" w:rsidRDefault="00242F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ill Sans MT" w:hAnsi="Gill Sans MT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D52"/>
    <w:multiLevelType w:val="hybridMultilevel"/>
    <w:tmpl w:val="D9C864A4"/>
    <w:lvl w:ilvl="0" w:tplc="7868C33E">
      <w:numFmt w:val="bullet"/>
      <w:lvlText w:val="-"/>
      <w:lvlJc w:val="left"/>
      <w:pPr>
        <w:ind w:left="720" w:hanging="360"/>
      </w:pPr>
      <w:rPr>
        <w:rFonts w:ascii="Gill Sans MT" w:eastAsia="Gill Sans" w:hAnsi="Gill Sans MT" w:cs="Gill Sans" w:hint="default"/>
      </w:rPr>
    </w:lvl>
    <w:lvl w:ilvl="1" w:tplc="81725C58">
      <w:numFmt w:val="bullet"/>
      <w:lvlText w:val=""/>
      <w:lvlJc w:val="left"/>
      <w:pPr>
        <w:ind w:left="1440" w:hanging="360"/>
      </w:pPr>
      <w:rPr>
        <w:rFonts w:ascii="Symbol" w:eastAsia="Gill Sans" w:hAnsi="Symbol" w:cs="Gill San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33503"/>
    <w:multiLevelType w:val="hybridMultilevel"/>
    <w:tmpl w:val="CA025E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92494"/>
    <w:multiLevelType w:val="hybridMultilevel"/>
    <w:tmpl w:val="020CD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E3F8D"/>
    <w:multiLevelType w:val="hybridMultilevel"/>
    <w:tmpl w:val="892CF0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F72B9"/>
    <w:multiLevelType w:val="hybridMultilevel"/>
    <w:tmpl w:val="C40A2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43307"/>
    <w:multiLevelType w:val="hybridMultilevel"/>
    <w:tmpl w:val="9E16382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371B17"/>
    <w:multiLevelType w:val="hybridMultilevel"/>
    <w:tmpl w:val="CE6463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42EA7"/>
    <w:multiLevelType w:val="hybridMultilevel"/>
    <w:tmpl w:val="15DC1B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E0AF3"/>
    <w:multiLevelType w:val="hybridMultilevel"/>
    <w:tmpl w:val="0B96F9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87468"/>
    <w:multiLevelType w:val="hybridMultilevel"/>
    <w:tmpl w:val="28D614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41B0C"/>
    <w:multiLevelType w:val="hybridMultilevel"/>
    <w:tmpl w:val="B04244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6D"/>
    <w:rsid w:val="00013E04"/>
    <w:rsid w:val="000243FD"/>
    <w:rsid w:val="000A21D8"/>
    <w:rsid w:val="000B00BB"/>
    <w:rsid w:val="00195A1F"/>
    <w:rsid w:val="001E2FEE"/>
    <w:rsid w:val="00242F6D"/>
    <w:rsid w:val="002D23A1"/>
    <w:rsid w:val="002D75BF"/>
    <w:rsid w:val="002F5534"/>
    <w:rsid w:val="00425565"/>
    <w:rsid w:val="004330F4"/>
    <w:rsid w:val="005245C8"/>
    <w:rsid w:val="0053005D"/>
    <w:rsid w:val="007F18A0"/>
    <w:rsid w:val="00801F77"/>
    <w:rsid w:val="00807F3D"/>
    <w:rsid w:val="0091183E"/>
    <w:rsid w:val="00915FE7"/>
    <w:rsid w:val="00977709"/>
    <w:rsid w:val="0098663E"/>
    <w:rsid w:val="00993B51"/>
    <w:rsid w:val="009A1705"/>
    <w:rsid w:val="009C45A1"/>
    <w:rsid w:val="009D154B"/>
    <w:rsid w:val="009E1EAE"/>
    <w:rsid w:val="00AA575B"/>
    <w:rsid w:val="00B35BAD"/>
    <w:rsid w:val="00BE416D"/>
    <w:rsid w:val="00D02E45"/>
    <w:rsid w:val="00D84180"/>
    <w:rsid w:val="00DC4441"/>
    <w:rsid w:val="00E6118B"/>
    <w:rsid w:val="00F40A7C"/>
    <w:rsid w:val="00F73C30"/>
    <w:rsid w:val="00FD0717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2976"/>
  <w15:docId w15:val="{61D07B2F-3D94-4585-9FB1-DEA874D2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line="276" w:lineRule="auto"/>
      <w:outlineLvl w:val="2"/>
    </w:pPr>
    <w:rPr>
      <w:rFonts w:ascii="Cambria" w:eastAsia="Cambria" w:hAnsi="Cambria" w:cs="Cambria"/>
      <w:b/>
      <w:color w:val="4F81BD"/>
      <w:sz w:val="22"/>
      <w:szCs w:val="22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807F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75B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E1E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E"/>
  </w:style>
  <w:style w:type="paragraph" w:styleId="Piedepgina">
    <w:name w:val="footer"/>
    <w:basedOn w:val="Normal"/>
    <w:link w:val="PiedepginaCar"/>
    <w:uiPriority w:val="99"/>
    <w:unhideWhenUsed/>
    <w:rsid w:val="009E1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EAE"/>
  </w:style>
  <w:style w:type="paragraph" w:styleId="Textonotapie">
    <w:name w:val="footnote text"/>
    <w:basedOn w:val="Normal"/>
    <w:link w:val="TextonotapieCar"/>
    <w:uiPriority w:val="99"/>
    <w:semiHidden/>
    <w:unhideWhenUsed/>
    <w:rsid w:val="009D154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154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D1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4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hamr.eu/funding/funding-opportunities/call-2025-new-treatments-to-tackle-am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v-se.eu.invajo.com/event/eupohamr/webinarforapplicant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ipaz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6612C-6867-42EC-AAFC-2FF1EC03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fundacionhulp</dc:creator>
  <cp:lastModifiedBy>fundacionhulp</cp:lastModifiedBy>
  <cp:revision>3</cp:revision>
  <dcterms:created xsi:type="dcterms:W3CDTF">2025-10-30T08:22:00Z</dcterms:created>
  <dcterms:modified xsi:type="dcterms:W3CDTF">2025-10-30T08:51:00Z</dcterms:modified>
</cp:coreProperties>
</file>