
<file path=[Content_Types].xml><?xml version="1.0" encoding="utf-8"?>
<Types xmlns="http://schemas.openxmlformats.org/package/2006/content-types">
  <Default Extension="png" ContentType="image/png"/>
  <Default Extension="web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6D" w:rsidRPr="009E1EAE" w:rsidRDefault="00242F6D">
      <w:pPr>
        <w:widowControl w:val="0"/>
        <w:rPr>
          <w:rFonts w:ascii="Gill Sans MT" w:eastAsia="Arial" w:hAnsi="Gill Sans MT" w:cs="Arial"/>
          <w:sz w:val="22"/>
          <w:szCs w:val="22"/>
        </w:rPr>
      </w:pPr>
    </w:p>
    <w:tbl>
      <w:tblPr>
        <w:tblStyle w:val="a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242F6D" w:rsidRPr="009E1EAE">
        <w:tc>
          <w:tcPr>
            <w:tcW w:w="4247" w:type="dxa"/>
            <w:vAlign w:val="center"/>
          </w:tcPr>
          <w:p w:rsidR="00242F6D" w:rsidRPr="009E1EAE" w:rsidRDefault="0098663E" w:rsidP="00013E04">
            <w:pPr>
              <w:jc w:val="center"/>
              <w:rPr>
                <w:rFonts w:ascii="Gill Sans MT" w:eastAsia="Gill Sans" w:hAnsi="Gill Sans MT" w:cs="Gill Sans"/>
                <w:b/>
              </w:rPr>
            </w:pPr>
            <w:r>
              <w:rPr>
                <w:rFonts w:ascii="Gill Sans MT" w:eastAsia="Gill Sans" w:hAnsi="Gill Sans MT" w:cs="Gill Sans"/>
                <w:b/>
              </w:rPr>
              <w:t>ER</w:t>
            </w:r>
            <w:r w:rsidR="00013E04">
              <w:rPr>
                <w:rFonts w:ascii="Gill Sans MT" w:eastAsia="Gill Sans" w:hAnsi="Gill Sans MT" w:cs="Gill Sans"/>
                <w:b/>
              </w:rPr>
              <w:t>DERA</w:t>
            </w:r>
          </w:p>
        </w:tc>
        <w:tc>
          <w:tcPr>
            <w:tcW w:w="4247" w:type="dxa"/>
            <w:vAlign w:val="center"/>
          </w:tcPr>
          <w:p w:rsidR="00242F6D" w:rsidRPr="009E1EAE" w:rsidRDefault="0098663E">
            <w:pPr>
              <w:jc w:val="center"/>
              <w:rPr>
                <w:rFonts w:ascii="Gill Sans MT" w:eastAsia="Gill Sans" w:hAnsi="Gill Sans MT" w:cs="Gill Sans"/>
                <w:b/>
                <w:sz w:val="22"/>
                <w:szCs w:val="22"/>
              </w:rPr>
            </w:pPr>
            <w:r w:rsidRPr="0098663E">
              <w:rPr>
                <w:rFonts w:ascii="Gill Sans MT" w:eastAsia="Gill Sans" w:hAnsi="Gill Sans MT" w:cs="Gill Sans"/>
                <w:b/>
                <w:noProof/>
                <w:sz w:val="22"/>
                <w:szCs w:val="22"/>
              </w:rPr>
              <w:drawing>
                <wp:inline distT="0" distB="0" distL="0" distR="0">
                  <wp:extent cx="977127" cy="549423"/>
                  <wp:effectExtent l="0" t="0" r="0" b="317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27" cy="54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F6D" w:rsidRPr="009E1EAE">
        <w:trPr>
          <w:trHeight w:val="288"/>
        </w:trPr>
        <w:tc>
          <w:tcPr>
            <w:tcW w:w="8494" w:type="dxa"/>
            <w:gridSpan w:val="2"/>
            <w:vAlign w:val="center"/>
          </w:tcPr>
          <w:p w:rsidR="009A1705" w:rsidRDefault="009A1705" w:rsidP="009A1705">
            <w:pPr>
              <w:spacing w:before="240"/>
              <w:jc w:val="center"/>
              <w:rPr>
                <w:rFonts w:ascii="Gill Sans MT" w:eastAsia="Gill Sans" w:hAnsi="Gill Sans MT" w:cs="Gill Sans"/>
                <w:sz w:val="28"/>
                <w:szCs w:val="28"/>
              </w:rPr>
            </w:pPr>
            <w:r>
              <w:rPr>
                <w:rFonts w:ascii="Gill Sans MT" w:eastAsia="Gill Sans" w:hAnsi="Gill Sans MT" w:cs="Gill Sans"/>
                <w:sz w:val="28"/>
                <w:szCs w:val="28"/>
              </w:rPr>
              <w:t xml:space="preserve">Anuncio Preliminar de la </w:t>
            </w:r>
            <w:r w:rsidR="005245C8" w:rsidRPr="009E1EAE">
              <w:rPr>
                <w:rFonts w:ascii="Gill Sans MT" w:eastAsia="Gill Sans" w:hAnsi="Gill Sans MT" w:cs="Gill Sans"/>
                <w:sz w:val="28"/>
                <w:szCs w:val="28"/>
              </w:rPr>
              <w:t>Convocatoria de 202</w:t>
            </w:r>
            <w:r w:rsidR="000B00BB">
              <w:rPr>
                <w:rFonts w:ascii="Gill Sans MT" w:eastAsia="Gill Sans" w:hAnsi="Gill Sans MT" w:cs="Gill Sans"/>
                <w:sz w:val="28"/>
                <w:szCs w:val="28"/>
              </w:rPr>
              <w:t>6</w:t>
            </w:r>
          </w:p>
          <w:p w:rsidR="005245C8" w:rsidRPr="009E1EAE" w:rsidRDefault="000B00BB" w:rsidP="000B00BB">
            <w:pPr>
              <w:jc w:val="center"/>
              <w:rPr>
                <w:rFonts w:ascii="Gill Sans MT" w:eastAsia="Gill Sans" w:hAnsi="Gill Sans MT" w:cs="Gill Sans"/>
                <w:sz w:val="28"/>
                <w:szCs w:val="28"/>
              </w:rPr>
            </w:pPr>
            <w:r w:rsidRPr="000B00BB">
              <w:rPr>
                <w:rFonts w:ascii="Gill Sans MT" w:eastAsia="Gill Sans" w:hAnsi="Gill Sans MT" w:cs="Gill Sans"/>
                <w:b/>
                <w:sz w:val="28"/>
                <w:szCs w:val="28"/>
              </w:rPr>
              <w:t>Resolución de casos sin resolver en enfermedades genéticas y no genéticas raras mediante la validación de variantes y nuevos enfoques tecnológicos.</w:t>
            </w:r>
          </w:p>
        </w:tc>
      </w:tr>
      <w:tr w:rsidR="00242F6D" w:rsidRPr="009E1EAE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2F6D" w:rsidRPr="009E1EAE" w:rsidRDefault="005245C8" w:rsidP="000B00BB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Apertura: </w:t>
            </w:r>
            <w:r w:rsidR="00013E04">
              <w:rPr>
                <w:rFonts w:ascii="Gill Sans MT" w:eastAsia="Gill Sans" w:hAnsi="Gill Sans MT" w:cs="Gill Sans"/>
                <w:sz w:val="22"/>
                <w:szCs w:val="22"/>
              </w:rPr>
              <w:t>10</w:t>
            </w:r>
            <w:r w:rsidR="00AA575B" w:rsidRPr="00AA575B">
              <w:rPr>
                <w:rFonts w:ascii="Gill Sans MT" w:eastAsia="Gill Sans" w:hAnsi="Gill Sans MT" w:cs="Gill Sans"/>
                <w:sz w:val="22"/>
                <w:szCs w:val="22"/>
              </w:rPr>
              <w:t xml:space="preserve"> de </w:t>
            </w:r>
            <w:r w:rsidR="00013E04">
              <w:rPr>
                <w:rFonts w:ascii="Gill Sans MT" w:eastAsia="Gill Sans" w:hAnsi="Gill Sans MT" w:cs="Gill Sans"/>
                <w:sz w:val="22"/>
                <w:szCs w:val="22"/>
              </w:rPr>
              <w:t>diciembre de 202</w:t>
            </w:r>
            <w:r w:rsidR="000B00BB">
              <w:rPr>
                <w:rFonts w:ascii="Gill Sans MT" w:eastAsia="Gill Sans" w:hAnsi="Gill Sans MT" w:cs="Gill Sans"/>
                <w:sz w:val="22"/>
                <w:szCs w:val="22"/>
              </w:rPr>
              <w:t>5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E04" w:rsidRDefault="005245C8" w:rsidP="00993B51">
            <w:pPr>
              <w:widowControl w:val="0"/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Fecha de cierre</w:t>
            </w:r>
            <w:r w:rsidR="00013E04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 xml:space="preserve"> de la primera fase</w:t>
            </w:r>
            <w:r w:rsidRPr="009E1EAE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:</w:t>
            </w:r>
            <w:r w:rsidRPr="009E1EAE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  <w:t xml:space="preserve"> </w:t>
            </w:r>
          </w:p>
          <w:p w:rsidR="00242F6D" w:rsidRPr="009E1EAE" w:rsidRDefault="000B00BB" w:rsidP="000B00BB">
            <w:pPr>
              <w:widowControl w:val="0"/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</w:pPr>
            <w:r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12</w:t>
            </w:r>
            <w:r w:rsidR="00013E04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 xml:space="preserve"> de febrero de 202</w:t>
            </w:r>
            <w:r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6</w:t>
            </w:r>
          </w:p>
        </w:tc>
      </w:tr>
      <w:tr w:rsidR="00242F6D" w:rsidRPr="009E1EAE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2F6D" w:rsidRPr="009E1EAE" w:rsidRDefault="005245C8" w:rsidP="00FD0717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Tipo de actuación: </w:t>
            </w:r>
            <w:proofErr w:type="spellStart"/>
            <w:r w:rsidR="0098663E">
              <w:rPr>
                <w:rFonts w:ascii="Gill Sans MT" w:eastAsia="Gill Sans" w:hAnsi="Gill Sans MT" w:cs="Gill Sans"/>
                <w:sz w:val="22"/>
                <w:szCs w:val="22"/>
              </w:rPr>
              <w:t>Partenariado</w:t>
            </w:r>
            <w:proofErr w:type="spellEnd"/>
            <w:r w:rsidR="000A21D8">
              <w:rPr>
                <w:rFonts w:ascii="Gill Sans MT" w:eastAsia="Gill Sans" w:hAnsi="Gill Sans MT" w:cs="Gill Sans"/>
                <w:sz w:val="22"/>
                <w:szCs w:val="22"/>
              </w:rPr>
              <w:t xml:space="preserve"> Europeo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2F6D" w:rsidRPr="009E1EAE" w:rsidRDefault="005245C8" w:rsidP="00915FE7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Presupuesto global: </w:t>
            </w:r>
            <w:r w:rsidR="00915FE7">
              <w:rPr>
                <w:rFonts w:ascii="Gill Sans MT" w:eastAsia="Gill Sans" w:hAnsi="Gill Sans MT" w:cs="Gill Sans"/>
                <w:sz w:val="22"/>
                <w:szCs w:val="22"/>
              </w:rPr>
              <w:t>por determinar</w:t>
            </w:r>
          </w:p>
        </w:tc>
      </w:tr>
    </w:tbl>
    <w:p w:rsidR="00242F6D" w:rsidRPr="009E1EAE" w:rsidRDefault="00242F6D">
      <w:pPr>
        <w:jc w:val="both"/>
        <w:rPr>
          <w:rFonts w:ascii="Gill Sans MT" w:eastAsia="Gill Sans" w:hAnsi="Gill Sans MT" w:cs="Gill Sans"/>
        </w:rPr>
      </w:pPr>
    </w:p>
    <w:p w:rsidR="0098663E" w:rsidRPr="00013E04" w:rsidRDefault="005245C8" w:rsidP="00013E04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color w:val="000000"/>
          <w:sz w:val="22"/>
          <w:szCs w:val="22"/>
        </w:rPr>
        <w:t>Objetivo</w:t>
      </w:r>
      <w:r w:rsidRPr="009E1EAE">
        <w:rPr>
          <w:rFonts w:ascii="Gill Sans MT" w:eastAsia="Gill Sans" w:hAnsi="Gill Sans MT" w:cs="Gill Sans"/>
          <w:color w:val="000000"/>
          <w:sz w:val="22"/>
          <w:szCs w:val="22"/>
        </w:rPr>
        <w:t>: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0A21D8">
        <w:rPr>
          <w:rFonts w:ascii="Gill Sans MT" w:eastAsia="Gill Sans" w:hAnsi="Gill Sans MT" w:cs="Gill Sans"/>
          <w:sz w:val="22"/>
          <w:szCs w:val="22"/>
        </w:rPr>
        <w:t xml:space="preserve">apoyar </w:t>
      </w:r>
      <w:r w:rsidR="00013E04" w:rsidRPr="00013E04">
        <w:rPr>
          <w:rFonts w:ascii="Gill Sans MT" w:eastAsia="Gill Sans" w:hAnsi="Gill Sans MT" w:cs="Gill Sans"/>
          <w:sz w:val="22"/>
          <w:szCs w:val="22"/>
        </w:rPr>
        <w:t>colaboraciones interdisciplinarias y transnacionales que aprovechen la experiencia complementaria para desarrollar nuevas terapias para enfermedades raras</w:t>
      </w:r>
      <w:r w:rsidR="00DC4441">
        <w:rPr>
          <w:rFonts w:ascii="Gill Sans MT" w:eastAsia="Gill Sans" w:hAnsi="Gill Sans MT" w:cs="Gill Sans"/>
          <w:sz w:val="22"/>
          <w:szCs w:val="22"/>
        </w:rPr>
        <w:t xml:space="preserve"> (menos de cinco casos cada 10000 personas)</w:t>
      </w:r>
      <w:r w:rsidR="00013E04" w:rsidRPr="00013E04">
        <w:rPr>
          <w:rFonts w:ascii="Gill Sans MT" w:eastAsia="Gill Sans" w:hAnsi="Gill Sans MT" w:cs="Gill Sans"/>
          <w:sz w:val="22"/>
          <w:szCs w:val="22"/>
        </w:rPr>
        <w:t xml:space="preserve">. </w:t>
      </w:r>
    </w:p>
    <w:p w:rsidR="000B00BB" w:rsidRPr="000B00BB" w:rsidRDefault="005245C8" w:rsidP="000B00BB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sz w:val="22"/>
          <w:szCs w:val="22"/>
        </w:rPr>
        <w:t>Alcance</w:t>
      </w:r>
      <w:r w:rsidRPr="00AA575B">
        <w:rPr>
          <w:rFonts w:ascii="Gill Sans MT" w:eastAsia="Gill Sans" w:hAnsi="Gill Sans MT" w:cs="Gill Sans"/>
          <w:sz w:val="22"/>
          <w:szCs w:val="22"/>
        </w:rPr>
        <w:t xml:space="preserve">: </w:t>
      </w:r>
      <w:r w:rsidR="000B00BB" w:rsidRPr="000B00BB">
        <w:rPr>
          <w:rFonts w:ascii="Gill Sans MT" w:eastAsia="Gill Sans" w:hAnsi="Gill Sans MT" w:cs="Gill Sans"/>
          <w:sz w:val="22"/>
          <w:szCs w:val="22"/>
        </w:rPr>
        <w:t xml:space="preserve">resolver enfermedades genéticas raras sin diagnosticar y abordar enfermedades raras no genéticas complejas y multifactoriales mediante la identificación de variantes causantes en pacientes sin diagnóstico molecular tras pruebas genéticas o genómicas previas, y </w:t>
      </w:r>
      <w:r w:rsidR="000B00BB" w:rsidRPr="000B00BB">
        <w:rPr>
          <w:rFonts w:ascii="Gill Sans MT" w:eastAsia="Gill Sans" w:hAnsi="Gill Sans MT" w:cs="Gill Sans"/>
          <w:sz w:val="22"/>
          <w:szCs w:val="22"/>
          <w:u w:val="single"/>
        </w:rPr>
        <w:t>proporcionar claridad diagnóstica para afecciones de patogénesis desconocida o mixta</w:t>
      </w:r>
      <w:r w:rsidR="000B00BB" w:rsidRPr="000B00BB">
        <w:rPr>
          <w:rFonts w:ascii="Gill Sans MT" w:eastAsia="Gill Sans" w:hAnsi="Gill Sans MT" w:cs="Gill Sans"/>
          <w:sz w:val="22"/>
          <w:szCs w:val="22"/>
        </w:rPr>
        <w:t>.</w:t>
      </w:r>
    </w:p>
    <w:p w:rsidR="000B00BB" w:rsidRPr="000B00BB" w:rsidRDefault="000B00BB" w:rsidP="000B00BB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0B00BB">
        <w:rPr>
          <w:rFonts w:ascii="Gill Sans MT" w:eastAsia="Gill Sans" w:hAnsi="Gill Sans MT" w:cs="Gill Sans"/>
          <w:sz w:val="22"/>
          <w:szCs w:val="22"/>
        </w:rPr>
        <w:t xml:space="preserve">Las áreas de interés </w:t>
      </w:r>
      <w:r w:rsidRPr="000B00BB">
        <w:rPr>
          <w:rFonts w:ascii="Gill Sans MT" w:eastAsia="Gill Sans" w:hAnsi="Gill Sans MT" w:cs="Gill Sans"/>
          <w:i/>
          <w:sz w:val="22"/>
          <w:szCs w:val="22"/>
        </w:rPr>
        <w:t>sugeridas</w:t>
      </w:r>
      <w:r w:rsidRPr="000B00BB">
        <w:rPr>
          <w:rFonts w:ascii="Gill Sans MT" w:eastAsia="Gill Sans" w:hAnsi="Gill Sans MT" w:cs="Gill Sans"/>
          <w:sz w:val="22"/>
          <w:szCs w:val="22"/>
        </w:rPr>
        <w:t xml:space="preserve"> son:</w:t>
      </w:r>
    </w:p>
    <w:p w:rsidR="000B00BB" w:rsidRPr="000B00BB" w:rsidRDefault="000B00BB" w:rsidP="000B00BB">
      <w:pPr>
        <w:pStyle w:val="Prrafodelista"/>
        <w:numPr>
          <w:ilvl w:val="0"/>
          <w:numId w:val="9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0B00BB">
        <w:rPr>
          <w:rFonts w:ascii="Gill Sans MT" w:eastAsia="Gill Sans" w:hAnsi="Gill Sans MT" w:cs="Gill Sans"/>
          <w:sz w:val="22"/>
          <w:szCs w:val="22"/>
        </w:rPr>
        <w:t xml:space="preserve">Validación funcional para clasificar variantes de significado incierto (VUS) y aumentar la diversidad de la investigación genómica funcional, o validación de VUS candidatas para mejorar los resultados en una gama más amplia de pacientes utilizando sistemas </w:t>
      </w:r>
      <w:r w:rsidRPr="000B00BB">
        <w:rPr>
          <w:rFonts w:ascii="Gill Sans MT" w:eastAsia="Gill Sans" w:hAnsi="Gill Sans MT" w:cs="Gill Sans"/>
          <w:i/>
          <w:sz w:val="22"/>
          <w:szCs w:val="22"/>
        </w:rPr>
        <w:t xml:space="preserve">in </w:t>
      </w:r>
      <w:proofErr w:type="spellStart"/>
      <w:r w:rsidRPr="000B00BB">
        <w:rPr>
          <w:rFonts w:ascii="Gill Sans MT" w:eastAsia="Gill Sans" w:hAnsi="Gill Sans MT" w:cs="Gill Sans"/>
          <w:i/>
          <w:sz w:val="22"/>
          <w:szCs w:val="22"/>
        </w:rPr>
        <w:t>silico</w:t>
      </w:r>
      <w:proofErr w:type="spellEnd"/>
      <w:r w:rsidRPr="000B00BB"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0B00BB">
        <w:rPr>
          <w:rFonts w:ascii="Gill Sans MT" w:eastAsia="Gill Sans" w:hAnsi="Gill Sans MT" w:cs="Gill Sans"/>
          <w:i/>
          <w:sz w:val="22"/>
          <w:szCs w:val="22"/>
        </w:rPr>
        <w:t>in vitro</w:t>
      </w:r>
      <w:r w:rsidRPr="000B00BB">
        <w:rPr>
          <w:rFonts w:ascii="Gill Sans MT" w:eastAsia="Gill Sans" w:hAnsi="Gill Sans MT" w:cs="Gill Sans"/>
          <w:sz w:val="22"/>
          <w:szCs w:val="22"/>
        </w:rPr>
        <w:t xml:space="preserve"> o modelos animales (por ejemplo, células modificadas con CRISPR, </w:t>
      </w:r>
      <w:proofErr w:type="spellStart"/>
      <w:r w:rsidRPr="000B00BB">
        <w:rPr>
          <w:rFonts w:ascii="Gill Sans MT" w:eastAsia="Gill Sans" w:hAnsi="Gill Sans MT" w:cs="Gill Sans"/>
          <w:sz w:val="22"/>
          <w:szCs w:val="22"/>
        </w:rPr>
        <w:t>iPSCs</w:t>
      </w:r>
      <w:proofErr w:type="spellEnd"/>
      <w:r w:rsidRPr="000B00BB">
        <w:rPr>
          <w:rFonts w:ascii="Gill Sans MT" w:eastAsia="Gill Sans" w:hAnsi="Gill Sans MT" w:cs="Gill Sans"/>
          <w:sz w:val="22"/>
          <w:szCs w:val="22"/>
        </w:rPr>
        <w:t>, organoides, etc.);</w:t>
      </w:r>
    </w:p>
    <w:p w:rsidR="000B00BB" w:rsidRPr="000B00BB" w:rsidRDefault="000B00BB" w:rsidP="000B00BB">
      <w:pPr>
        <w:pStyle w:val="Prrafodelista"/>
        <w:numPr>
          <w:ilvl w:val="0"/>
          <w:numId w:val="9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0B00BB">
        <w:rPr>
          <w:rFonts w:ascii="Gill Sans MT" w:eastAsia="Gill Sans" w:hAnsi="Gill Sans MT" w:cs="Gill Sans"/>
          <w:sz w:val="22"/>
          <w:szCs w:val="22"/>
        </w:rPr>
        <w:t xml:space="preserve">Uso de métodos </w:t>
      </w:r>
      <w:proofErr w:type="spellStart"/>
      <w:r w:rsidRPr="000B00BB">
        <w:rPr>
          <w:rFonts w:ascii="Gill Sans MT" w:eastAsia="Gill Sans" w:hAnsi="Gill Sans MT" w:cs="Gill Sans"/>
          <w:sz w:val="22"/>
          <w:szCs w:val="22"/>
        </w:rPr>
        <w:t>multiómicos</w:t>
      </w:r>
      <w:proofErr w:type="spellEnd"/>
      <w:r w:rsidRPr="000B00BB">
        <w:rPr>
          <w:rFonts w:ascii="Gill Sans MT" w:eastAsia="Gill Sans" w:hAnsi="Gill Sans MT" w:cs="Gill Sans"/>
          <w:sz w:val="22"/>
          <w:szCs w:val="22"/>
        </w:rPr>
        <w:t xml:space="preserve"> o integradores (por ejemplo, </w:t>
      </w:r>
      <w:proofErr w:type="spellStart"/>
      <w:r w:rsidRPr="000B00BB">
        <w:rPr>
          <w:rFonts w:ascii="Gill Sans MT" w:eastAsia="Gill Sans" w:hAnsi="Gill Sans MT" w:cs="Gill Sans"/>
          <w:sz w:val="22"/>
          <w:szCs w:val="22"/>
        </w:rPr>
        <w:t>transcriptómica</w:t>
      </w:r>
      <w:proofErr w:type="spellEnd"/>
      <w:r w:rsidRPr="000B00BB">
        <w:rPr>
          <w:rFonts w:ascii="Gill Sans MT" w:eastAsia="Gill Sans" w:hAnsi="Gill Sans MT" w:cs="Gill Sans"/>
          <w:sz w:val="22"/>
          <w:szCs w:val="22"/>
        </w:rPr>
        <w:t xml:space="preserve">, </w:t>
      </w:r>
      <w:proofErr w:type="spellStart"/>
      <w:r w:rsidRPr="000B00BB">
        <w:rPr>
          <w:rFonts w:ascii="Gill Sans MT" w:eastAsia="Gill Sans" w:hAnsi="Gill Sans MT" w:cs="Gill Sans"/>
          <w:sz w:val="22"/>
          <w:szCs w:val="22"/>
        </w:rPr>
        <w:t>epigenómica</w:t>
      </w:r>
      <w:proofErr w:type="spellEnd"/>
      <w:r w:rsidRPr="000B00BB">
        <w:rPr>
          <w:rFonts w:ascii="Gill Sans MT" w:eastAsia="Gill Sans" w:hAnsi="Gill Sans MT" w:cs="Gill Sans"/>
          <w:sz w:val="22"/>
          <w:szCs w:val="22"/>
        </w:rPr>
        <w:t>, etc.) para resolver variantes ambiguas o complejas.</w:t>
      </w:r>
    </w:p>
    <w:p w:rsidR="000B00BB" w:rsidRPr="000B00BB" w:rsidRDefault="000B00BB" w:rsidP="000B00BB">
      <w:pPr>
        <w:pStyle w:val="Prrafodelista"/>
        <w:numPr>
          <w:ilvl w:val="0"/>
          <w:numId w:val="9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0B00BB">
        <w:rPr>
          <w:rFonts w:ascii="Gill Sans MT" w:eastAsia="Gill Sans" w:hAnsi="Gill Sans MT" w:cs="Gill Sans"/>
          <w:sz w:val="22"/>
          <w:szCs w:val="22"/>
        </w:rPr>
        <w:t>Nuevas herramientas/metodologías aún no validadas en entornos clínicos, incluyendo bioestadística, bioinformática avanzada y enfoques matemáticos (por ejemplo, predictores del efecto de las variantes, plataformas de anotación basadas en inteligencia artificial (IA), etc.).</w:t>
      </w:r>
    </w:p>
    <w:p w:rsidR="000B00BB" w:rsidRPr="000B00BB" w:rsidRDefault="000B00BB" w:rsidP="000B00BB">
      <w:pPr>
        <w:pStyle w:val="Prrafodelista"/>
        <w:numPr>
          <w:ilvl w:val="0"/>
          <w:numId w:val="9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0B00BB">
        <w:rPr>
          <w:rFonts w:ascii="Gill Sans MT" w:eastAsia="Gill Sans" w:hAnsi="Gill Sans MT" w:cs="Gill Sans"/>
          <w:sz w:val="22"/>
          <w:szCs w:val="22"/>
        </w:rPr>
        <w:t>Biología de sistemas y modelización de mecanismos de enfermedades.</w:t>
      </w:r>
    </w:p>
    <w:p w:rsidR="00013E04" w:rsidRDefault="000B00BB" w:rsidP="000B00BB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0B00BB">
        <w:rPr>
          <w:rFonts w:ascii="Gill Sans MT" w:eastAsia="Gill Sans" w:hAnsi="Gill Sans MT" w:cs="Gill Sans"/>
          <w:sz w:val="22"/>
          <w:szCs w:val="22"/>
          <w:u w:val="single"/>
        </w:rPr>
        <w:t>Q</w:t>
      </w:r>
      <w:r w:rsidR="00013E04" w:rsidRPr="000B00BB">
        <w:rPr>
          <w:rFonts w:ascii="Gill Sans MT" w:eastAsia="Gill Sans" w:hAnsi="Gill Sans MT" w:cs="Gill Sans"/>
          <w:sz w:val="22"/>
          <w:szCs w:val="22"/>
          <w:u w:val="single"/>
        </w:rPr>
        <w:t>uedan excluidas</w:t>
      </w:r>
      <w:r w:rsidR="00013E04" w:rsidRPr="00013E04">
        <w:rPr>
          <w:rFonts w:ascii="Gill Sans MT" w:eastAsia="Gill Sans" w:hAnsi="Gill Sans MT" w:cs="Gill Sans"/>
          <w:sz w:val="22"/>
          <w:szCs w:val="22"/>
        </w:rPr>
        <w:t xml:space="preserve"> de esta convocatoria las</w:t>
      </w:r>
      <w:r>
        <w:rPr>
          <w:rFonts w:ascii="Gill Sans MT" w:eastAsia="Gill Sans" w:hAnsi="Gill Sans MT" w:cs="Gill Sans"/>
          <w:sz w:val="22"/>
          <w:szCs w:val="22"/>
        </w:rPr>
        <w:t xml:space="preserve"> siguientes enfermedades, enfoques y temas:</w:t>
      </w:r>
      <w:r w:rsidR="004330F4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4330F4" w:rsidRPr="004330F4" w:rsidRDefault="004330F4" w:rsidP="004330F4">
      <w:pPr>
        <w:pStyle w:val="Prrafodelista"/>
        <w:numPr>
          <w:ilvl w:val="0"/>
          <w:numId w:val="10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4330F4">
        <w:rPr>
          <w:rFonts w:ascii="Gill Sans MT" w:eastAsia="Gill Sans" w:hAnsi="Gill Sans MT" w:cs="Gill Sans"/>
          <w:sz w:val="22"/>
          <w:szCs w:val="22"/>
        </w:rPr>
        <w:t>Estudios de des</w:t>
      </w:r>
      <w:r w:rsidRPr="004330F4">
        <w:rPr>
          <w:rFonts w:ascii="Gill Sans MT" w:eastAsia="Gill Sans" w:hAnsi="Gill Sans MT" w:cs="Gill Sans"/>
          <w:sz w:val="22"/>
          <w:szCs w:val="22"/>
        </w:rPr>
        <w:t>arrollo de terapias preclínicas</w:t>
      </w:r>
      <w:r w:rsidRPr="004330F4">
        <w:rPr>
          <w:rFonts w:ascii="Gill Sans MT" w:eastAsia="Gill Sans" w:hAnsi="Gill Sans MT" w:cs="Gill Sans"/>
          <w:sz w:val="22"/>
          <w:szCs w:val="22"/>
        </w:rPr>
        <w:t>.</w:t>
      </w:r>
    </w:p>
    <w:p w:rsidR="004330F4" w:rsidRDefault="004330F4" w:rsidP="00C75651">
      <w:pPr>
        <w:pStyle w:val="Prrafodelista"/>
        <w:numPr>
          <w:ilvl w:val="0"/>
          <w:numId w:val="10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4330F4">
        <w:rPr>
          <w:rFonts w:ascii="Gill Sans MT" w:eastAsia="Gill Sans" w:hAnsi="Gill Sans MT" w:cs="Gill Sans"/>
          <w:sz w:val="22"/>
          <w:szCs w:val="22"/>
        </w:rPr>
        <w:t xml:space="preserve">Ensayos clínicos intervencionistas para demostrar la eficacia de fármacos, tratamientos, procedimientos quirúrgicos o procedimientos médicos. </w:t>
      </w:r>
    </w:p>
    <w:p w:rsidR="004330F4" w:rsidRPr="004330F4" w:rsidRDefault="004330F4" w:rsidP="00C75651">
      <w:pPr>
        <w:pStyle w:val="Prrafodelista"/>
        <w:numPr>
          <w:ilvl w:val="0"/>
          <w:numId w:val="10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>E</w:t>
      </w:r>
      <w:r w:rsidRPr="004330F4">
        <w:rPr>
          <w:rFonts w:ascii="Gill Sans MT" w:eastAsia="Gill Sans" w:hAnsi="Gill Sans MT" w:cs="Gill Sans"/>
          <w:sz w:val="22"/>
          <w:szCs w:val="22"/>
        </w:rPr>
        <w:t xml:space="preserve">nfermedades raras que se encuentran dentro del ámbito de la </w:t>
      </w:r>
      <w:proofErr w:type="spellStart"/>
      <w:r w:rsidRPr="004330F4">
        <w:rPr>
          <w:rFonts w:ascii="Gill Sans MT" w:eastAsia="Gill Sans" w:hAnsi="Gill Sans MT" w:cs="Gill Sans"/>
          <w:i/>
          <w:sz w:val="22"/>
          <w:szCs w:val="22"/>
        </w:rPr>
        <w:t>Brain</w:t>
      </w:r>
      <w:proofErr w:type="spellEnd"/>
      <w:r w:rsidRPr="004330F4">
        <w:rPr>
          <w:rFonts w:ascii="Gill Sans MT" w:eastAsia="Gill Sans" w:hAnsi="Gill Sans MT" w:cs="Gill Sans"/>
          <w:i/>
          <w:sz w:val="22"/>
          <w:szCs w:val="22"/>
        </w:rPr>
        <w:t xml:space="preserve"> Health </w:t>
      </w:r>
      <w:proofErr w:type="spellStart"/>
      <w:r w:rsidRPr="004330F4">
        <w:rPr>
          <w:rFonts w:ascii="Gill Sans MT" w:eastAsia="Gill Sans" w:hAnsi="Gill Sans MT" w:cs="Gill Sans"/>
          <w:i/>
          <w:sz w:val="22"/>
          <w:szCs w:val="22"/>
        </w:rPr>
        <w:t>Partnership</w:t>
      </w:r>
      <w:proofErr w:type="spellEnd"/>
      <w:r w:rsidRPr="004330F4">
        <w:rPr>
          <w:rFonts w:ascii="Gill Sans MT" w:eastAsia="Gill Sans" w:hAnsi="Gill Sans MT" w:cs="Gill Sans"/>
          <w:sz w:val="22"/>
          <w:szCs w:val="22"/>
        </w:rPr>
        <w:t xml:space="preserve"> (https://www.brainhealth-partnership.eu/jtcs-2026/). Sin embargo, las </w:t>
      </w:r>
      <w:r w:rsidRPr="004330F4">
        <w:rPr>
          <w:rFonts w:ascii="Gill Sans MT" w:eastAsia="Gill Sans" w:hAnsi="Gill Sans MT" w:cs="Gill Sans"/>
          <w:b/>
          <w:sz w:val="22"/>
          <w:szCs w:val="22"/>
        </w:rPr>
        <w:t>demencias infantiles y las enfermedades neurodegenerativas son elegibles</w:t>
      </w:r>
      <w:r w:rsidRPr="004330F4">
        <w:rPr>
          <w:rFonts w:ascii="Gill Sans MT" w:eastAsia="Gill Sans" w:hAnsi="Gill Sans MT" w:cs="Gill Sans"/>
          <w:sz w:val="22"/>
          <w:szCs w:val="22"/>
        </w:rPr>
        <w:t>.</w:t>
      </w:r>
    </w:p>
    <w:p w:rsidR="004330F4" w:rsidRDefault="004330F4" w:rsidP="004330F4">
      <w:pPr>
        <w:pStyle w:val="Prrafodelista"/>
        <w:numPr>
          <w:ilvl w:val="0"/>
          <w:numId w:val="10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4330F4">
        <w:rPr>
          <w:rFonts w:ascii="Gill Sans MT" w:eastAsia="Gill Sans" w:hAnsi="Gill Sans MT" w:cs="Gill Sans"/>
          <w:sz w:val="22"/>
          <w:szCs w:val="22"/>
        </w:rPr>
        <w:t xml:space="preserve">Enfermedades infecciosas raras, cánceres raros y reacciones adversas raras a medicamentos en el tratamiento de enfermedades comunes. </w:t>
      </w:r>
    </w:p>
    <w:p w:rsidR="004330F4" w:rsidRPr="004330F4" w:rsidRDefault="004330F4" w:rsidP="004330F4">
      <w:pPr>
        <w:pStyle w:val="Prrafodelista"/>
        <w:numPr>
          <w:ilvl w:val="0"/>
          <w:numId w:val="10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4330F4">
        <w:rPr>
          <w:rFonts w:ascii="Gill Sans MT" w:eastAsia="Gill Sans" w:hAnsi="Gill Sans MT" w:cs="Gill Sans"/>
          <w:sz w:val="22"/>
          <w:szCs w:val="22"/>
        </w:rPr>
        <w:t>Las enfermedades raras con predisposición al cáncer son elegibles. Por lo tanto, las enfermedades con errores congénitos de inmunidad o predisposición genética a enfermedades infecciosas raras son elegibles.</w:t>
      </w:r>
    </w:p>
    <w:p w:rsidR="00242F6D" w:rsidRDefault="005245C8" w:rsidP="00BE416D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DC4441">
        <w:rPr>
          <w:rFonts w:ascii="Gill Sans MT" w:eastAsia="Gill Sans" w:hAnsi="Gill Sans MT" w:cs="Gill Sans"/>
          <w:b/>
          <w:sz w:val="22"/>
          <w:szCs w:val="22"/>
        </w:rPr>
        <w:t>Requisitos de los solicitantes</w:t>
      </w:r>
      <w:r w:rsidRPr="00DC4441">
        <w:rPr>
          <w:rFonts w:ascii="Gill Sans MT" w:eastAsia="Gill Sans" w:hAnsi="Gill Sans MT" w:cs="Gill Sans"/>
          <w:sz w:val="22"/>
          <w:szCs w:val="22"/>
        </w:rPr>
        <w:t xml:space="preserve">: el consorcio puede incluir miembros de las siguientes </w:t>
      </w:r>
      <w:r w:rsidR="00B35BAD" w:rsidRPr="00DC4441">
        <w:rPr>
          <w:rFonts w:ascii="Gill Sans MT" w:eastAsia="Gill Sans" w:hAnsi="Gill Sans MT" w:cs="Gill Sans"/>
          <w:sz w:val="22"/>
          <w:szCs w:val="22"/>
        </w:rPr>
        <w:t>cuatro</w:t>
      </w:r>
      <w:r w:rsidRPr="00DC4441">
        <w:rPr>
          <w:rFonts w:ascii="Gill Sans MT" w:eastAsia="Gill Sans" w:hAnsi="Gill Sans MT" w:cs="Gill Sans"/>
          <w:sz w:val="22"/>
          <w:szCs w:val="22"/>
        </w:rPr>
        <w:t xml:space="preserve"> categorías: </w:t>
      </w:r>
      <w:r w:rsidRPr="00DC4441">
        <w:rPr>
          <w:rFonts w:ascii="Gill Sans MT" w:eastAsia="Gill Sans" w:hAnsi="Gill Sans MT" w:cs="Gill Sans"/>
          <w:sz w:val="22"/>
          <w:szCs w:val="22"/>
          <w:u w:val="single"/>
        </w:rPr>
        <w:t>académicos</w:t>
      </w:r>
      <w:r w:rsidRPr="00DC4441">
        <w:rPr>
          <w:rFonts w:ascii="Gill Sans MT" w:eastAsia="Gill Sans" w:hAnsi="Gill Sans MT" w:cs="Gill Sans"/>
          <w:sz w:val="22"/>
          <w:szCs w:val="22"/>
        </w:rPr>
        <w:t xml:space="preserve"> (universidades, </w:t>
      </w:r>
      <w:proofErr w:type="spellStart"/>
      <w:r w:rsidRPr="00DC4441">
        <w:rPr>
          <w:rFonts w:ascii="Gill Sans MT" w:eastAsia="Gill Sans" w:hAnsi="Gill Sans MT" w:cs="Gill Sans"/>
          <w:sz w:val="22"/>
          <w:szCs w:val="22"/>
        </w:rPr>
        <w:t>OPIs</w:t>
      </w:r>
      <w:proofErr w:type="spellEnd"/>
      <w:r w:rsidRPr="00DC4441">
        <w:rPr>
          <w:rFonts w:ascii="Gill Sans MT" w:eastAsia="Gill Sans" w:hAnsi="Gill Sans MT" w:cs="Gill Sans"/>
          <w:sz w:val="22"/>
          <w:szCs w:val="22"/>
        </w:rPr>
        <w:t xml:space="preserve"> etc.), </w:t>
      </w:r>
      <w:r w:rsidRPr="00DC4441">
        <w:rPr>
          <w:rFonts w:ascii="Gill Sans MT" w:eastAsia="Gill Sans" w:hAnsi="Gill Sans MT" w:cs="Gill Sans"/>
          <w:sz w:val="22"/>
          <w:szCs w:val="22"/>
          <w:u w:val="single"/>
        </w:rPr>
        <w:t>clínicos</w:t>
      </w:r>
      <w:r w:rsidRPr="00DC4441">
        <w:rPr>
          <w:rFonts w:ascii="Gill Sans MT" w:eastAsia="Gill Sans" w:hAnsi="Gill Sans MT" w:cs="Gill Sans"/>
          <w:sz w:val="22"/>
          <w:szCs w:val="22"/>
        </w:rPr>
        <w:t xml:space="preserve"> (hospitales públicos, org</w:t>
      </w:r>
      <w:r w:rsidR="00B35BAD" w:rsidRPr="00DC4441">
        <w:rPr>
          <w:rFonts w:ascii="Gill Sans MT" w:eastAsia="Gill Sans" w:hAnsi="Gill Sans MT" w:cs="Gill Sans"/>
          <w:sz w:val="22"/>
          <w:szCs w:val="22"/>
        </w:rPr>
        <w:t>anizaciones sanitarias etc.), socios</w:t>
      </w:r>
      <w:r w:rsidR="00BE416D" w:rsidRPr="00DC4441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BE416D" w:rsidRPr="00DC4441">
        <w:rPr>
          <w:rFonts w:ascii="Gill Sans MT" w:eastAsia="Gill Sans" w:hAnsi="Gill Sans MT" w:cs="Gill Sans"/>
          <w:sz w:val="22"/>
          <w:szCs w:val="22"/>
          <w:u w:val="single"/>
        </w:rPr>
        <w:t>privados</w:t>
      </w:r>
      <w:r w:rsidRPr="00DC4441">
        <w:rPr>
          <w:rFonts w:ascii="Gill Sans MT" w:eastAsia="Gill Sans" w:hAnsi="Gill Sans MT" w:cs="Gill Sans"/>
          <w:sz w:val="22"/>
          <w:szCs w:val="22"/>
        </w:rPr>
        <w:t xml:space="preserve"> (empresas de cualquier tamaño</w:t>
      </w:r>
      <w:r w:rsidR="00BE416D" w:rsidRPr="00DC4441">
        <w:rPr>
          <w:rFonts w:ascii="Gill Sans MT" w:eastAsia="Gill Sans" w:hAnsi="Gill Sans MT" w:cs="Gill Sans"/>
          <w:sz w:val="22"/>
          <w:szCs w:val="22"/>
        </w:rPr>
        <w:t xml:space="preserve"> incluyendo </w:t>
      </w:r>
      <w:proofErr w:type="spellStart"/>
      <w:r w:rsidR="00BE416D" w:rsidRPr="00DC4441">
        <w:rPr>
          <w:rFonts w:ascii="Gill Sans MT" w:eastAsia="Gill Sans" w:hAnsi="Gill Sans MT" w:cs="Gill Sans"/>
          <w:sz w:val="22"/>
          <w:szCs w:val="22"/>
        </w:rPr>
        <w:t>ONGs</w:t>
      </w:r>
      <w:proofErr w:type="spellEnd"/>
      <w:r w:rsidR="00BE416D" w:rsidRPr="00DC4441">
        <w:rPr>
          <w:rFonts w:ascii="Gill Sans MT" w:eastAsia="Gill Sans" w:hAnsi="Gill Sans MT" w:cs="Gill Sans"/>
          <w:sz w:val="22"/>
          <w:szCs w:val="22"/>
        </w:rPr>
        <w:t xml:space="preserve"> y reguladores</w:t>
      </w:r>
      <w:r w:rsidRPr="00DC4441">
        <w:rPr>
          <w:rFonts w:ascii="Gill Sans MT" w:eastAsia="Gill Sans" w:hAnsi="Gill Sans MT" w:cs="Gill Sans"/>
          <w:sz w:val="22"/>
          <w:szCs w:val="22"/>
        </w:rPr>
        <w:t>)</w:t>
      </w:r>
      <w:r w:rsidR="00B35BAD" w:rsidRPr="00DC4441">
        <w:rPr>
          <w:rFonts w:ascii="Gill Sans MT" w:eastAsia="Gill Sans" w:hAnsi="Gill Sans MT" w:cs="Gill Sans"/>
          <w:sz w:val="22"/>
          <w:szCs w:val="22"/>
        </w:rPr>
        <w:t xml:space="preserve"> y </w:t>
      </w:r>
      <w:r w:rsidR="004330F4">
        <w:rPr>
          <w:rFonts w:ascii="Gill Sans MT" w:eastAsia="Gill Sans" w:hAnsi="Gill Sans MT" w:cs="Gill Sans"/>
          <w:sz w:val="22"/>
          <w:szCs w:val="22"/>
          <w:u w:val="single"/>
        </w:rPr>
        <w:t>asociaciones de defensa de los pacientes</w:t>
      </w:r>
      <w:r w:rsidR="002D75BF" w:rsidRPr="00DC4441">
        <w:rPr>
          <w:rFonts w:ascii="Gill Sans MT" w:eastAsia="Gill Sans" w:hAnsi="Gill Sans MT" w:cs="Gill Sans"/>
          <w:sz w:val="22"/>
          <w:szCs w:val="22"/>
        </w:rPr>
        <w:t>.</w:t>
      </w:r>
      <w:r w:rsidR="00993B51" w:rsidRPr="00DC4441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DC4441" w:rsidRDefault="00DC4441">
      <w:pPr>
        <w:jc w:val="both"/>
        <w:rPr>
          <w:rFonts w:ascii="Gill Sans MT" w:eastAsia="Gill Sans" w:hAnsi="Gill Sans MT" w:cs="Gill Sans"/>
          <w:sz w:val="22"/>
          <w:szCs w:val="22"/>
        </w:rPr>
      </w:pPr>
    </w:p>
    <w:p w:rsidR="00242F6D" w:rsidRPr="00DC4441" w:rsidRDefault="00DC4441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DC4441">
        <w:rPr>
          <w:rFonts w:ascii="Gill Sans MT" w:eastAsia="Gill Sans" w:hAnsi="Gill Sans MT" w:cs="Gill Sans"/>
          <w:sz w:val="22"/>
          <w:szCs w:val="22"/>
        </w:rPr>
        <w:lastRenderedPageBreak/>
        <w:t>Sólo se financiarán proyectos transnacionales. Cada consorcio que presente una propuesta deberá contar con entre cuatro y seis socios invest</w:t>
      </w:r>
      <w:r>
        <w:rPr>
          <w:rFonts w:ascii="Gill Sans MT" w:eastAsia="Gill Sans" w:hAnsi="Gill Sans MT" w:cs="Gill Sans"/>
          <w:sz w:val="22"/>
          <w:szCs w:val="22"/>
        </w:rPr>
        <w:t>igadores principales admisibles</w:t>
      </w:r>
      <w:r w:rsidRPr="00DC4441">
        <w:rPr>
          <w:rFonts w:ascii="Gill Sans MT" w:eastAsia="Gill Sans" w:hAnsi="Gill Sans MT" w:cs="Gill Sans"/>
          <w:sz w:val="22"/>
          <w:szCs w:val="22"/>
        </w:rPr>
        <w:t xml:space="preserve"> de al menos cuatro países participantes diferentes. </w:t>
      </w:r>
      <w:r>
        <w:rPr>
          <w:rFonts w:ascii="Gill Sans MT" w:eastAsia="Gill Sans" w:hAnsi="Gill Sans MT" w:cs="Gill Sans"/>
          <w:sz w:val="22"/>
          <w:szCs w:val="22"/>
        </w:rPr>
        <w:t xml:space="preserve">La inclusión de más grupos liderados por </w:t>
      </w:r>
      <w:r w:rsidR="004330F4" w:rsidRPr="00DC4441">
        <w:rPr>
          <w:rFonts w:ascii="Gill Sans MT" w:eastAsia="Gill Sans" w:hAnsi="Gill Sans MT" w:cs="Gill Sans"/>
          <w:sz w:val="22"/>
          <w:szCs w:val="22"/>
        </w:rPr>
        <w:t>investigador</w:t>
      </w:r>
      <w:r w:rsidR="004330F4">
        <w:rPr>
          <w:rFonts w:ascii="Gill Sans MT" w:eastAsia="Gill Sans" w:hAnsi="Gill Sans MT" w:cs="Gill Sans"/>
          <w:sz w:val="22"/>
          <w:szCs w:val="22"/>
        </w:rPr>
        <w:t>es</w:t>
      </w:r>
      <w:r w:rsidR="004330F4" w:rsidRPr="00DC4441">
        <w:rPr>
          <w:rFonts w:ascii="Gill Sans MT" w:eastAsia="Gill Sans" w:hAnsi="Gill Sans MT" w:cs="Gill Sans"/>
          <w:sz w:val="22"/>
          <w:szCs w:val="22"/>
        </w:rPr>
        <w:t xml:space="preserve"> novel (ECR</w:t>
      </w:r>
      <w:r w:rsidR="004330F4">
        <w:rPr>
          <w:rStyle w:val="Refdenotaalpie"/>
          <w:rFonts w:ascii="Gill Sans MT" w:eastAsia="Gill Sans" w:hAnsi="Gill Sans MT" w:cs="Gill Sans"/>
          <w:sz w:val="22"/>
          <w:szCs w:val="22"/>
        </w:rPr>
        <w:footnoteReference w:id="1"/>
      </w:r>
      <w:r w:rsidR="004330F4" w:rsidRPr="00DC4441">
        <w:rPr>
          <w:rFonts w:ascii="Gill Sans MT" w:eastAsia="Gill Sans" w:hAnsi="Gill Sans MT" w:cs="Gill Sans"/>
          <w:sz w:val="22"/>
          <w:szCs w:val="22"/>
        </w:rPr>
        <w:t>)</w:t>
      </w:r>
      <w:r>
        <w:rPr>
          <w:rFonts w:ascii="Gill Sans MT" w:eastAsia="Gill Sans" w:hAnsi="Gill Sans MT" w:cs="Gill Sans"/>
          <w:sz w:val="22"/>
          <w:szCs w:val="22"/>
        </w:rPr>
        <w:t xml:space="preserve"> o de países considerados infrarrepresentados (en </w:t>
      </w:r>
      <w:r>
        <w:rPr>
          <w:rFonts w:ascii="Gill Sans MT" w:eastAsia="Gill Sans" w:hAnsi="Gill Sans MT" w:cs="Gill Sans"/>
          <w:b/>
          <w:sz w:val="22"/>
          <w:szCs w:val="22"/>
        </w:rPr>
        <w:t>negrita</w:t>
      </w:r>
      <w:r>
        <w:rPr>
          <w:rFonts w:ascii="Gill Sans MT" w:eastAsia="Gill Sans" w:hAnsi="Gill Sans MT" w:cs="Gill Sans"/>
          <w:sz w:val="22"/>
          <w:szCs w:val="22"/>
        </w:rPr>
        <w:t>) permitirá aumentar el tamaño del consorcio a ocho.</w:t>
      </w:r>
    </w:p>
    <w:p w:rsidR="00DC4441" w:rsidRPr="00DC4441" w:rsidRDefault="00DC4441">
      <w:pPr>
        <w:jc w:val="both"/>
        <w:rPr>
          <w:rFonts w:ascii="Gill Sans MT" w:eastAsia="Gill Sans" w:hAnsi="Gill Sans MT" w:cs="Gill Sans"/>
          <w:sz w:val="22"/>
          <w:szCs w:val="22"/>
        </w:rPr>
      </w:pPr>
    </w:p>
    <w:p w:rsidR="00242F6D" w:rsidRDefault="00E6118B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DC4441">
        <w:rPr>
          <w:rFonts w:ascii="Gill Sans MT" w:eastAsia="Gill Sans" w:hAnsi="Gill Sans MT" w:cs="Gill Sans"/>
          <w:sz w:val="22"/>
          <w:szCs w:val="22"/>
        </w:rPr>
        <w:t>Las condiciones exactas de participación se publicarán con el anuncio oficial de apertura.</w:t>
      </w:r>
    </w:p>
    <w:p w:rsidR="00B35BAD" w:rsidRPr="009E1EAE" w:rsidRDefault="00B35BAD">
      <w:pPr>
        <w:jc w:val="both"/>
        <w:rPr>
          <w:rFonts w:ascii="Gill Sans MT" w:eastAsia="Gill Sans" w:hAnsi="Gill Sans MT" w:cs="Gill Sans"/>
          <w:b/>
          <w:sz w:val="22"/>
          <w:szCs w:val="22"/>
        </w:rPr>
      </w:pPr>
    </w:p>
    <w:p w:rsidR="00242F6D" w:rsidRPr="00E6118B" w:rsidRDefault="005245C8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sz w:val="22"/>
          <w:szCs w:val="22"/>
        </w:rPr>
        <w:t>Participantes:</w:t>
      </w:r>
      <w:r w:rsidR="00013E04">
        <w:rPr>
          <w:rFonts w:ascii="Gill Sans MT" w:eastAsia="Gill Sans" w:hAnsi="Gill Sans MT" w:cs="Gill Sans"/>
          <w:b/>
          <w:sz w:val="22"/>
          <w:szCs w:val="22"/>
        </w:rPr>
        <w:t xml:space="preserve"> </w:t>
      </w:r>
      <w:r w:rsidR="000B00BB">
        <w:rPr>
          <w:rFonts w:ascii="Gill Sans MT" w:eastAsia="Gill Sans" w:hAnsi="Gill Sans MT" w:cs="Gill Sans"/>
          <w:sz w:val="22"/>
          <w:szCs w:val="22"/>
        </w:rPr>
        <w:t>Por determinar</w:t>
      </w:r>
      <w:r w:rsidRPr="00E6118B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242F6D" w:rsidRPr="009E1EAE" w:rsidRDefault="00242F6D">
      <w:pPr>
        <w:jc w:val="both"/>
        <w:rPr>
          <w:rFonts w:ascii="Gill Sans MT" w:eastAsia="Gill Sans" w:hAnsi="Gill Sans MT" w:cs="Gill Sans"/>
          <w:b/>
          <w:sz w:val="22"/>
          <w:szCs w:val="22"/>
        </w:rPr>
      </w:pPr>
    </w:p>
    <w:p w:rsidR="00242F6D" w:rsidRDefault="005245C8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sz w:val="22"/>
          <w:szCs w:val="22"/>
        </w:rPr>
        <w:t xml:space="preserve">Financiación: 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Las condiciones de financiación varían por país y tipo de entidad participante. </w:t>
      </w:r>
    </w:p>
    <w:p w:rsidR="002F5534" w:rsidRPr="009E1EAE" w:rsidRDefault="002F5534">
      <w:pPr>
        <w:jc w:val="both"/>
        <w:rPr>
          <w:rFonts w:ascii="Gill Sans MT" w:eastAsia="Gill Sans" w:hAnsi="Gill Sans MT" w:cs="Gill Sans"/>
          <w:b/>
          <w:sz w:val="22"/>
          <w:szCs w:val="22"/>
        </w:rPr>
      </w:pPr>
    </w:p>
    <w:p w:rsidR="00242F6D" w:rsidRPr="009E1EAE" w:rsidRDefault="005245C8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color w:val="000000"/>
          <w:sz w:val="22"/>
          <w:szCs w:val="22"/>
        </w:rPr>
        <w:t>Más información: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242F6D" w:rsidRDefault="005245C8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sz w:val="22"/>
          <w:szCs w:val="22"/>
        </w:rPr>
        <w:t>Ponerse en contacto con la Plataforma de Internacionalización de IdiPAZ</w:t>
      </w:r>
      <w:r w:rsidR="000B00BB" w:rsidRPr="000B00BB">
        <w:rPr>
          <w:rFonts w:ascii="Gill Sans MT" w:eastAsia="Gill Sans" w:hAnsi="Gill Sans MT" w:cs="Gill Sans"/>
          <w:b/>
          <w:sz w:val="22"/>
          <w:szCs w:val="22"/>
        </w:rPr>
        <w:t>, antes del 12 de enero de 2026</w:t>
      </w:r>
      <w:r w:rsidRPr="009E1EAE">
        <w:rPr>
          <w:rFonts w:ascii="Gill Sans MT" w:eastAsia="Gill Sans" w:hAnsi="Gill Sans MT" w:cs="Gill Sans"/>
          <w:sz w:val="22"/>
          <w:szCs w:val="22"/>
        </w:rPr>
        <w:t>.</w:t>
      </w:r>
    </w:p>
    <w:p w:rsidR="00801F77" w:rsidRDefault="00801F77">
      <w:pPr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 xml:space="preserve">La convocatoria tendrá un </w:t>
      </w:r>
      <w:proofErr w:type="spellStart"/>
      <w:r>
        <w:rPr>
          <w:rFonts w:ascii="Gill Sans MT" w:eastAsia="Gill Sans" w:hAnsi="Gill Sans MT" w:cs="Gill Sans"/>
          <w:sz w:val="22"/>
          <w:szCs w:val="22"/>
        </w:rPr>
        <w:t>webinario</w:t>
      </w:r>
      <w:proofErr w:type="spellEnd"/>
      <w:r>
        <w:rPr>
          <w:rFonts w:ascii="Gill Sans MT" w:eastAsia="Gill Sans" w:hAnsi="Gill Sans MT" w:cs="Gill Sans"/>
          <w:sz w:val="22"/>
          <w:szCs w:val="22"/>
        </w:rPr>
        <w:t xml:space="preserve"> informativo, en inglés, el día </w:t>
      </w:r>
      <w:r w:rsidR="00D02E45">
        <w:rPr>
          <w:rFonts w:ascii="Gill Sans MT" w:eastAsia="Gill Sans" w:hAnsi="Gill Sans MT" w:cs="Gill Sans"/>
          <w:sz w:val="22"/>
          <w:szCs w:val="22"/>
        </w:rPr>
        <w:t>1</w:t>
      </w:r>
      <w:r w:rsidR="000B00BB">
        <w:rPr>
          <w:rFonts w:ascii="Gill Sans MT" w:eastAsia="Gill Sans" w:hAnsi="Gill Sans MT" w:cs="Gill Sans"/>
          <w:sz w:val="22"/>
          <w:szCs w:val="22"/>
        </w:rPr>
        <w:t>6</w:t>
      </w:r>
      <w:r>
        <w:rPr>
          <w:rFonts w:ascii="Gill Sans MT" w:eastAsia="Gill Sans" w:hAnsi="Gill Sans MT" w:cs="Gill Sans"/>
          <w:sz w:val="22"/>
          <w:szCs w:val="22"/>
        </w:rPr>
        <w:t>/1</w:t>
      </w:r>
      <w:r w:rsidR="00D02E45">
        <w:rPr>
          <w:rFonts w:ascii="Gill Sans MT" w:eastAsia="Gill Sans" w:hAnsi="Gill Sans MT" w:cs="Gill Sans"/>
          <w:sz w:val="22"/>
          <w:szCs w:val="22"/>
        </w:rPr>
        <w:t>2</w:t>
      </w:r>
      <w:r>
        <w:rPr>
          <w:rFonts w:ascii="Gill Sans MT" w:eastAsia="Gill Sans" w:hAnsi="Gill Sans MT" w:cs="Gill Sans"/>
          <w:sz w:val="22"/>
          <w:szCs w:val="22"/>
        </w:rPr>
        <w:t>/202</w:t>
      </w:r>
      <w:r w:rsidR="000B00BB">
        <w:rPr>
          <w:rFonts w:ascii="Gill Sans MT" w:eastAsia="Gill Sans" w:hAnsi="Gill Sans MT" w:cs="Gill Sans"/>
          <w:sz w:val="22"/>
          <w:szCs w:val="22"/>
        </w:rPr>
        <w:t>5</w:t>
      </w:r>
      <w:r>
        <w:rPr>
          <w:rFonts w:ascii="Gill Sans MT" w:eastAsia="Gill Sans" w:hAnsi="Gill Sans MT" w:cs="Gill Sans"/>
          <w:sz w:val="22"/>
          <w:szCs w:val="22"/>
        </w:rPr>
        <w:t>.</w:t>
      </w:r>
      <w:r w:rsidR="000B00BB">
        <w:rPr>
          <w:rFonts w:ascii="Gill Sans MT" w:eastAsia="Gill Sans" w:hAnsi="Gill Sans MT" w:cs="Gill Sans"/>
          <w:sz w:val="22"/>
          <w:szCs w:val="22"/>
        </w:rPr>
        <w:t xml:space="preserve"> La inscripción previa es obligatoria en </w:t>
      </w:r>
      <w:hyperlink r:id="rId9" w:history="1">
        <w:r w:rsidR="000B00BB" w:rsidRPr="00B13EC8">
          <w:rPr>
            <w:rStyle w:val="Hipervnculo"/>
            <w:rFonts w:ascii="Gill Sans MT" w:eastAsia="Gill Sans" w:hAnsi="Gill Sans MT" w:cs="Gill Sans"/>
            <w:sz w:val="22"/>
            <w:szCs w:val="22"/>
          </w:rPr>
          <w:t>https://erdera.org/event/information-webinar-erdera-joint-transnational-call-2026/</w:t>
        </w:r>
      </w:hyperlink>
      <w:r w:rsidR="000B00BB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2F5534" w:rsidRPr="009E1EAE" w:rsidRDefault="004330F4">
      <w:pPr>
        <w:jc w:val="both"/>
        <w:rPr>
          <w:rFonts w:ascii="Gill Sans MT" w:eastAsia="Gill Sans" w:hAnsi="Gill Sans MT" w:cs="Gill Sans"/>
          <w:sz w:val="22"/>
          <w:szCs w:val="22"/>
        </w:rPr>
      </w:pPr>
      <w:hyperlink r:id="rId10" w:history="1">
        <w:r w:rsidR="002F5534" w:rsidRPr="00D02E45">
          <w:rPr>
            <w:rStyle w:val="Hipervnculo"/>
            <w:rFonts w:ascii="Gill Sans MT" w:eastAsia="Gill Sans" w:hAnsi="Gill Sans MT" w:cs="Gill Sans"/>
            <w:sz w:val="22"/>
            <w:szCs w:val="22"/>
          </w:rPr>
          <w:t>Texto íntegro del pre-anuncio</w:t>
        </w:r>
      </w:hyperlink>
      <w:r w:rsidR="002F5534">
        <w:rPr>
          <w:rFonts w:ascii="Gill Sans MT" w:eastAsia="Gill Sans" w:hAnsi="Gill Sans MT" w:cs="Gill Sans"/>
          <w:sz w:val="22"/>
          <w:szCs w:val="22"/>
        </w:rPr>
        <w:t>.</w:t>
      </w:r>
      <w:bookmarkStart w:id="0" w:name="_GoBack"/>
      <w:bookmarkEnd w:id="0"/>
    </w:p>
    <w:sectPr w:rsidR="002F5534" w:rsidRPr="009E1EA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65" w:rsidRDefault="005245C8">
      <w:r>
        <w:separator/>
      </w:r>
    </w:p>
  </w:endnote>
  <w:endnote w:type="continuationSeparator" w:id="0">
    <w:p w:rsidR="00425565" w:rsidRDefault="0052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6D" w:rsidRPr="00977709" w:rsidRDefault="00242F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 MT" w:hAnsi="Gill Sans MT"/>
        <w:color w:val="000000"/>
      </w:rPr>
    </w:pPr>
  </w:p>
  <w:tbl>
    <w:tblPr>
      <w:tblStyle w:val="a1"/>
      <w:tblW w:w="8473" w:type="dxa"/>
      <w:tblInd w:w="108" w:type="dxa"/>
      <w:tblBorders>
        <w:top w:val="single" w:sz="24" w:space="0" w:color="999999"/>
      </w:tblBorders>
      <w:tblLayout w:type="fixed"/>
      <w:tblLook w:val="0000" w:firstRow="0" w:lastRow="0" w:firstColumn="0" w:lastColumn="0" w:noHBand="0" w:noVBand="0"/>
    </w:tblPr>
    <w:tblGrid>
      <w:gridCol w:w="8473"/>
    </w:tblGrid>
    <w:tr w:rsidR="00242F6D" w:rsidRPr="00977709">
      <w:trPr>
        <w:trHeight w:val="240"/>
      </w:trPr>
      <w:tc>
        <w:tcPr>
          <w:tcW w:w="8473" w:type="dxa"/>
          <w:tcBorders>
            <w:top w:val="single" w:sz="24" w:space="0" w:color="999999"/>
          </w:tcBorders>
        </w:tcPr>
        <w:p w:rsidR="00242F6D" w:rsidRPr="00977709" w:rsidRDefault="004330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hyperlink r:id="rId1">
            <w:r w:rsidR="005245C8" w:rsidRPr="00977709">
              <w:rPr>
                <w:rFonts w:ascii="Gill Sans MT" w:eastAsia="Gill Sans" w:hAnsi="Gill Sans MT" w:cs="Gill Sans"/>
                <w:color w:val="1155CC"/>
                <w:sz w:val="18"/>
                <w:szCs w:val="18"/>
                <w:u w:val="single"/>
              </w:rPr>
              <w:t>www.idipaz.es</w:t>
            </w:r>
          </w:hyperlink>
        </w:p>
        <w:p w:rsidR="00242F6D" w:rsidRPr="00977709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begin"/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instrText>PAGE</w:instrText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separate"/>
          </w:r>
          <w:r w:rsidR="004330F4">
            <w:rPr>
              <w:rFonts w:ascii="Gill Sans MT" w:eastAsia="Gill Sans" w:hAnsi="Gill Sans MT" w:cs="Gill Sans"/>
              <w:noProof/>
              <w:color w:val="999999"/>
              <w:sz w:val="18"/>
              <w:szCs w:val="18"/>
            </w:rPr>
            <w:t>2</w:t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end"/>
          </w:r>
        </w:p>
      </w:tc>
    </w:tr>
  </w:tbl>
  <w:p w:rsidR="00242F6D" w:rsidRPr="00977709" w:rsidRDefault="00242F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 MT" w:hAnsi="Gill Sans 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65" w:rsidRDefault="005245C8">
      <w:r>
        <w:separator/>
      </w:r>
    </w:p>
  </w:footnote>
  <w:footnote w:type="continuationSeparator" w:id="0">
    <w:p w:rsidR="00425565" w:rsidRDefault="005245C8">
      <w:r>
        <w:continuationSeparator/>
      </w:r>
    </w:p>
  </w:footnote>
  <w:footnote w:id="1">
    <w:p w:rsidR="004330F4" w:rsidRPr="009D154B" w:rsidRDefault="004330F4" w:rsidP="004330F4">
      <w:pPr>
        <w:pStyle w:val="Textonotapie"/>
        <w:rPr>
          <w:rFonts w:ascii="Gill Sans MT" w:hAnsi="Gill Sans MT"/>
        </w:rPr>
      </w:pPr>
      <w:r w:rsidRPr="009D154B">
        <w:rPr>
          <w:rStyle w:val="Refdenotaalpie"/>
          <w:rFonts w:ascii="Gill Sans MT" w:hAnsi="Gill Sans MT"/>
        </w:rPr>
        <w:footnoteRef/>
      </w:r>
      <w:r w:rsidRPr="009D154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Investigadores con menos de siete años desde la obtención de su PhD o </w:t>
      </w:r>
      <w:proofErr w:type="spellStart"/>
      <w:r>
        <w:rPr>
          <w:rFonts w:ascii="Gill Sans MT" w:hAnsi="Gill Sans MT"/>
        </w:rPr>
        <w:t>MDs</w:t>
      </w:r>
      <w:proofErr w:type="spellEnd"/>
      <w:r>
        <w:rPr>
          <w:rFonts w:ascii="Gill Sans MT" w:hAnsi="Gill Sans MT"/>
        </w:rPr>
        <w:t xml:space="preserve"> con menos de siete años desde la terminación de su especialización. Para MD/</w:t>
      </w:r>
      <w:proofErr w:type="spellStart"/>
      <w:r>
        <w:rPr>
          <w:rFonts w:ascii="Gill Sans MT" w:hAnsi="Gill Sans MT"/>
        </w:rPr>
        <w:t>PhDs</w:t>
      </w:r>
      <w:proofErr w:type="spellEnd"/>
      <w:r>
        <w:rPr>
          <w:rFonts w:ascii="Gill Sans MT" w:hAnsi="Gill Sans MT"/>
        </w:rPr>
        <w:t xml:space="preserve"> la fecha de base es la de la terminación de la especialización clínica.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6D" w:rsidRPr="009E1EAE" w:rsidRDefault="00242F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 MT" w:eastAsia="Gill Sans" w:hAnsi="Gill Sans MT" w:cs="Gill Sans"/>
        <w:sz w:val="22"/>
        <w:szCs w:val="22"/>
      </w:rPr>
    </w:pPr>
  </w:p>
  <w:tbl>
    <w:tblPr>
      <w:tblStyle w:val="a0"/>
      <w:tblW w:w="8504" w:type="dxa"/>
      <w:tblInd w:w="0" w:type="dxa"/>
      <w:tblBorders>
        <w:insideV w:val="single" w:sz="36" w:space="0" w:color="999999"/>
      </w:tblBorders>
      <w:tblLayout w:type="fixed"/>
      <w:tblLook w:val="0000" w:firstRow="0" w:lastRow="0" w:firstColumn="0" w:lastColumn="0" w:noHBand="0" w:noVBand="0"/>
    </w:tblPr>
    <w:tblGrid>
      <w:gridCol w:w="1725"/>
      <w:gridCol w:w="5105"/>
      <w:gridCol w:w="1674"/>
    </w:tblGrid>
    <w:tr w:rsidR="00242F6D" w:rsidRPr="009E1EAE">
      <w:trPr>
        <w:trHeight w:val="700"/>
      </w:trPr>
      <w:tc>
        <w:tcPr>
          <w:tcW w:w="1725" w:type="dxa"/>
        </w:tcPr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</w:rPr>
          </w:pPr>
          <w:r w:rsidRPr="009E1EAE">
            <w:rPr>
              <w:rFonts w:ascii="Gill Sans MT" w:eastAsia="Gill Sans" w:hAnsi="Gill Sans MT" w:cs="Gill Sans"/>
              <w:noProof/>
              <w:color w:val="000000"/>
            </w:rPr>
            <w:drawing>
              <wp:inline distT="0" distB="0" distL="0" distR="0">
                <wp:extent cx="866775" cy="447675"/>
                <wp:effectExtent l="0" t="0" r="0" b="0"/>
                <wp:docPr id="3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5" w:type="dxa"/>
          <w:tcBorders>
            <w:right w:val="single" w:sz="4" w:space="0" w:color="FFFFFF"/>
          </w:tcBorders>
          <w:vAlign w:val="center"/>
        </w:tcPr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Hospital Universitario La Paz</w:t>
          </w:r>
        </w:p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Paseo de La Castellana, 261</w:t>
          </w:r>
        </w:p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Edificio Norte, 4ªPlanta</w:t>
          </w:r>
        </w:p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28046 - Madrid</w:t>
          </w:r>
        </w:p>
      </w:tc>
      <w:tc>
        <w:tcPr>
          <w:tcW w:w="1674" w:type="dxa"/>
          <w:tcBorders>
            <w:left w:val="single" w:sz="4" w:space="0" w:color="FFFFFF"/>
          </w:tcBorders>
          <w:vAlign w:val="center"/>
        </w:tcPr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 w:rsidRPr="009E1EAE">
            <w:rPr>
              <w:rFonts w:ascii="Gill Sans MT" w:hAnsi="Gill Sans MT"/>
              <w:noProof/>
              <w:color w:val="000000"/>
            </w:rPr>
            <w:drawing>
              <wp:inline distT="0" distB="0" distL="114300" distR="114300">
                <wp:extent cx="541655" cy="54165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55" cy="54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42F6D" w:rsidRPr="009E1EAE" w:rsidRDefault="00242F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 MT" w:hAnsi="Gill Sans M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D52"/>
    <w:multiLevelType w:val="hybridMultilevel"/>
    <w:tmpl w:val="D9C864A4"/>
    <w:lvl w:ilvl="0" w:tplc="7868C33E">
      <w:numFmt w:val="bullet"/>
      <w:lvlText w:val="-"/>
      <w:lvlJc w:val="left"/>
      <w:pPr>
        <w:ind w:left="720" w:hanging="360"/>
      </w:pPr>
      <w:rPr>
        <w:rFonts w:ascii="Gill Sans MT" w:eastAsia="Gill Sans" w:hAnsi="Gill Sans MT" w:cs="Gill Sans" w:hint="default"/>
      </w:rPr>
    </w:lvl>
    <w:lvl w:ilvl="1" w:tplc="81725C58">
      <w:numFmt w:val="bullet"/>
      <w:lvlText w:val=""/>
      <w:lvlJc w:val="left"/>
      <w:pPr>
        <w:ind w:left="1440" w:hanging="360"/>
      </w:pPr>
      <w:rPr>
        <w:rFonts w:ascii="Symbol" w:eastAsia="Gill Sans" w:hAnsi="Symbol" w:cs="Gill Sa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3503"/>
    <w:multiLevelType w:val="hybridMultilevel"/>
    <w:tmpl w:val="CA025E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494"/>
    <w:multiLevelType w:val="hybridMultilevel"/>
    <w:tmpl w:val="020CD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F72B9"/>
    <w:multiLevelType w:val="hybridMultilevel"/>
    <w:tmpl w:val="C40A2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43307"/>
    <w:multiLevelType w:val="hybridMultilevel"/>
    <w:tmpl w:val="9E1638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371B17"/>
    <w:multiLevelType w:val="hybridMultilevel"/>
    <w:tmpl w:val="CE646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EA7"/>
    <w:multiLevelType w:val="hybridMultilevel"/>
    <w:tmpl w:val="15DC1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E0AF3"/>
    <w:multiLevelType w:val="hybridMultilevel"/>
    <w:tmpl w:val="0B96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87468"/>
    <w:multiLevelType w:val="hybridMultilevel"/>
    <w:tmpl w:val="28D614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1B0C"/>
    <w:multiLevelType w:val="hybridMultilevel"/>
    <w:tmpl w:val="B04244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6D"/>
    <w:rsid w:val="00013E04"/>
    <w:rsid w:val="000243FD"/>
    <w:rsid w:val="000A21D8"/>
    <w:rsid w:val="000B00BB"/>
    <w:rsid w:val="00195A1F"/>
    <w:rsid w:val="001E2FEE"/>
    <w:rsid w:val="00242F6D"/>
    <w:rsid w:val="002D23A1"/>
    <w:rsid w:val="002D75BF"/>
    <w:rsid w:val="002F5534"/>
    <w:rsid w:val="00425565"/>
    <w:rsid w:val="004330F4"/>
    <w:rsid w:val="005245C8"/>
    <w:rsid w:val="007F18A0"/>
    <w:rsid w:val="00801F77"/>
    <w:rsid w:val="00807F3D"/>
    <w:rsid w:val="0091183E"/>
    <w:rsid w:val="00915FE7"/>
    <w:rsid w:val="00977709"/>
    <w:rsid w:val="0098663E"/>
    <w:rsid w:val="00993B51"/>
    <w:rsid w:val="009A1705"/>
    <w:rsid w:val="009C45A1"/>
    <w:rsid w:val="009D154B"/>
    <w:rsid w:val="009E1EAE"/>
    <w:rsid w:val="00AA575B"/>
    <w:rsid w:val="00B35BAD"/>
    <w:rsid w:val="00BE416D"/>
    <w:rsid w:val="00D02E45"/>
    <w:rsid w:val="00DC4441"/>
    <w:rsid w:val="00E6118B"/>
    <w:rsid w:val="00FD0717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9ED4"/>
  <w15:docId w15:val="{61D07B2F-3D94-4585-9FB1-DEA874D2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807F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75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1E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E"/>
  </w:style>
  <w:style w:type="paragraph" w:styleId="Piedepgina">
    <w:name w:val="footer"/>
    <w:basedOn w:val="Normal"/>
    <w:link w:val="PiedepginaCar"/>
    <w:uiPriority w:val="99"/>
    <w:unhideWhenUsed/>
    <w:rsid w:val="009E1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EAE"/>
  </w:style>
  <w:style w:type="paragraph" w:styleId="Textonotapie">
    <w:name w:val="footnote text"/>
    <w:basedOn w:val="Normal"/>
    <w:link w:val="TextonotapieCar"/>
    <w:uiPriority w:val="99"/>
    <w:semiHidden/>
    <w:unhideWhenUsed/>
    <w:rsid w:val="009D154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15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1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eb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rdera.org/call/joint-transnational-call-20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dera.org/event/information-webinar-erdera-joint-transnational-call-2026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ipaz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B986-1228-405E-AAF0-7043FB61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fundacionhulp</dc:creator>
  <cp:lastModifiedBy>fundacionhulp</cp:lastModifiedBy>
  <cp:revision>3</cp:revision>
  <dcterms:created xsi:type="dcterms:W3CDTF">2025-10-29T14:03:00Z</dcterms:created>
  <dcterms:modified xsi:type="dcterms:W3CDTF">2025-10-29T14:16:00Z</dcterms:modified>
</cp:coreProperties>
</file>