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55CEE" w:rsidRPr="00E55CEE" w:rsidTr="004F1DDA">
        <w:tc>
          <w:tcPr>
            <w:tcW w:w="8494" w:type="dxa"/>
            <w:gridSpan w:val="2"/>
            <w:vAlign w:val="center"/>
          </w:tcPr>
          <w:p w:rsidR="004F1DDA" w:rsidRPr="00E55CEE" w:rsidRDefault="004F1DDA" w:rsidP="004F1DDA">
            <w:pPr>
              <w:jc w:val="center"/>
              <w:rPr>
                <w:rFonts w:ascii="Gill Sans MT" w:hAnsi="Gill Sans MT"/>
              </w:rPr>
            </w:pPr>
            <w:bookmarkStart w:id="0" w:name="_GoBack"/>
            <w:bookmarkEnd w:id="0"/>
            <w:r w:rsidRPr="00E55CEE">
              <w:rPr>
                <w:rFonts w:ascii="Gill Sans MT" w:hAnsi="Gill Sans MT"/>
                <w:noProof/>
              </w:rPr>
              <w:drawing>
                <wp:inline distT="0" distB="0" distL="0" distR="0" wp14:anchorId="1F7D27E0" wp14:editId="1F6F78FF">
                  <wp:extent cx="1657350" cy="616688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069" cy="68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CEE" w:rsidRPr="00E55CEE" w:rsidTr="004F1DDA">
        <w:tc>
          <w:tcPr>
            <w:tcW w:w="8494" w:type="dxa"/>
            <w:gridSpan w:val="2"/>
            <w:vAlign w:val="center"/>
          </w:tcPr>
          <w:p w:rsidR="004F1DDA" w:rsidRPr="00E55CEE" w:rsidRDefault="004F1DDA" w:rsidP="004F1DDA">
            <w:pPr>
              <w:spacing w:before="240"/>
              <w:jc w:val="center"/>
              <w:rPr>
                <w:rFonts w:ascii="Gill Sans MT" w:hAnsi="Gill Sans MT"/>
                <w:b/>
              </w:rPr>
            </w:pPr>
            <w:r w:rsidRPr="00E55CEE">
              <w:rPr>
                <w:rFonts w:ascii="Gill Sans MT" w:hAnsi="Gill Sans MT"/>
              </w:rPr>
              <w:t>Convocatoria transnacional conjunta de propuestas 2026</w:t>
            </w:r>
          </w:p>
        </w:tc>
      </w:tr>
      <w:tr w:rsidR="00E55CEE" w:rsidRPr="00E55CEE" w:rsidTr="004F1DDA">
        <w:tc>
          <w:tcPr>
            <w:tcW w:w="8494" w:type="dxa"/>
            <w:gridSpan w:val="2"/>
            <w:vAlign w:val="center"/>
          </w:tcPr>
          <w:p w:rsidR="004F1DDA" w:rsidRPr="00E55CEE" w:rsidRDefault="004F1DDA" w:rsidP="004F1DDA">
            <w:pPr>
              <w:spacing w:after="240"/>
              <w:jc w:val="center"/>
              <w:rPr>
                <w:rFonts w:ascii="Gill Sans MT" w:hAnsi="Gill Sans MT"/>
              </w:rPr>
            </w:pPr>
            <w:r w:rsidRPr="00E55CEE">
              <w:rPr>
                <w:rFonts w:ascii="Gill Sans MT" w:hAnsi="Gill Sans MT"/>
                <w:b/>
                <w:bCs/>
                <w:sz w:val="32"/>
              </w:rPr>
              <w:t>Medicina Personalizada para enfermedades cardiovasculares, metabólicas y renales (CARMEN2026)</w:t>
            </w:r>
            <w:r w:rsidRPr="00E55CEE">
              <w:rPr>
                <w:rFonts w:ascii="Gill Sans MT" w:hAnsi="Gill Sans MT"/>
                <w:b/>
                <w:bCs/>
                <w:sz w:val="32"/>
              </w:rPr>
              <w:t>.</w:t>
            </w:r>
          </w:p>
        </w:tc>
      </w:tr>
      <w:tr w:rsidR="00E55CEE" w:rsidRPr="00E55CEE" w:rsidTr="004F1DDA">
        <w:tc>
          <w:tcPr>
            <w:tcW w:w="4247" w:type="dxa"/>
            <w:vAlign w:val="center"/>
          </w:tcPr>
          <w:p w:rsidR="004F1DDA" w:rsidRPr="00E55CEE" w:rsidRDefault="004F1DDA" w:rsidP="004F1DDA">
            <w:pPr>
              <w:jc w:val="center"/>
              <w:rPr>
                <w:rFonts w:ascii="Gill Sans MT" w:hAnsi="Gill Sans MT"/>
              </w:rPr>
            </w:pPr>
            <w:r w:rsidRPr="00E55CEE">
              <w:rPr>
                <w:rFonts w:ascii="Gill Sans MT" w:eastAsia="Gill Sans" w:hAnsi="Gill Sans MT" w:cs="Gill Sans"/>
                <w:b/>
              </w:rPr>
              <w:t>Apertura</w:t>
            </w:r>
            <w:r w:rsidRPr="00E55CEE">
              <w:rPr>
                <w:rFonts w:ascii="Gill Sans MT" w:eastAsia="Gill Sans" w:hAnsi="Gill Sans MT" w:cs="Gill Sans"/>
              </w:rPr>
              <w:t xml:space="preserve">: </w:t>
            </w:r>
            <w:r w:rsidRPr="00E55CEE">
              <w:rPr>
                <w:rFonts w:ascii="Gill Sans MT" w:hAnsi="Gill Sans MT"/>
              </w:rPr>
              <w:t>25 de noviembre, 2025</w:t>
            </w:r>
          </w:p>
        </w:tc>
        <w:tc>
          <w:tcPr>
            <w:tcW w:w="4247" w:type="dxa"/>
            <w:vAlign w:val="center"/>
          </w:tcPr>
          <w:p w:rsidR="004F1DDA" w:rsidRPr="00E55CEE" w:rsidRDefault="004F1DDA" w:rsidP="004F1DDA">
            <w:pPr>
              <w:jc w:val="center"/>
              <w:rPr>
                <w:rFonts w:ascii="Gill Sans MT" w:hAnsi="Gill Sans MT"/>
              </w:rPr>
            </w:pPr>
            <w:r w:rsidRPr="00E55CEE">
              <w:rPr>
                <w:rFonts w:ascii="Gill Sans MT" w:eastAsia="Gill Sans" w:hAnsi="Gill Sans MT" w:cs="Gill Sans"/>
                <w:b/>
              </w:rPr>
              <w:t>Fecha de cierre primera fase</w:t>
            </w:r>
            <w:r w:rsidRPr="00E55CEE">
              <w:rPr>
                <w:rFonts w:ascii="Gill Sans MT" w:eastAsia="Gill Sans" w:hAnsi="Gill Sans MT" w:cs="Gill Sans"/>
              </w:rPr>
              <w:t xml:space="preserve">: </w:t>
            </w:r>
            <w:r w:rsidRPr="00E55CEE">
              <w:rPr>
                <w:rFonts w:ascii="Gill Sans MT" w:hAnsi="Gill Sans MT"/>
              </w:rPr>
              <w:t>10 febrero, 2026 (14:00, CET)</w:t>
            </w:r>
          </w:p>
        </w:tc>
      </w:tr>
      <w:tr w:rsidR="00E55CEE" w:rsidRPr="00E55CEE" w:rsidTr="004F1DDA">
        <w:tc>
          <w:tcPr>
            <w:tcW w:w="4247" w:type="dxa"/>
            <w:vAlign w:val="center"/>
          </w:tcPr>
          <w:p w:rsidR="004F1DDA" w:rsidRPr="00E55CEE" w:rsidRDefault="004F1DDA" w:rsidP="004F1DDA">
            <w:pPr>
              <w:jc w:val="center"/>
              <w:rPr>
                <w:rFonts w:ascii="Gill Sans MT" w:hAnsi="Gill Sans MT"/>
              </w:rPr>
            </w:pPr>
            <w:r w:rsidRPr="00E55CEE">
              <w:rPr>
                <w:rFonts w:ascii="Gill Sans MT" w:eastAsia="Gill Sans" w:hAnsi="Gill Sans MT" w:cs="Gill Sans"/>
                <w:b/>
              </w:rPr>
              <w:t xml:space="preserve">Tipo de actuación: </w:t>
            </w:r>
            <w:proofErr w:type="spellStart"/>
            <w:r w:rsidRPr="00E55CEE">
              <w:rPr>
                <w:rFonts w:ascii="Gill Sans MT" w:eastAsia="Gill Sans" w:hAnsi="Gill Sans MT" w:cs="Gill Sans"/>
              </w:rPr>
              <w:t>Partenariado</w:t>
            </w:r>
            <w:proofErr w:type="spellEnd"/>
            <w:r w:rsidRPr="00E55CEE">
              <w:rPr>
                <w:rFonts w:ascii="Gill Sans MT" w:eastAsia="Gill Sans" w:hAnsi="Gill Sans MT" w:cs="Gill Sans"/>
              </w:rPr>
              <w:t xml:space="preserve"> Europeo</w:t>
            </w:r>
          </w:p>
        </w:tc>
        <w:tc>
          <w:tcPr>
            <w:tcW w:w="4247" w:type="dxa"/>
            <w:vAlign w:val="center"/>
          </w:tcPr>
          <w:p w:rsidR="004F1DDA" w:rsidRPr="00E55CEE" w:rsidRDefault="004F1DDA" w:rsidP="004F1DDA">
            <w:pPr>
              <w:jc w:val="center"/>
              <w:rPr>
                <w:rFonts w:ascii="Gill Sans MT" w:hAnsi="Gill Sans MT"/>
              </w:rPr>
            </w:pPr>
            <w:r w:rsidRPr="00E55CEE">
              <w:rPr>
                <w:rFonts w:ascii="Gill Sans MT" w:eastAsia="Gill Sans" w:hAnsi="Gill Sans MT" w:cs="Gill Sans"/>
                <w:b/>
              </w:rPr>
              <w:t xml:space="preserve">Presupuesto global: </w:t>
            </w:r>
            <w:r w:rsidRPr="00E55CEE">
              <w:rPr>
                <w:rFonts w:ascii="Gill Sans MT" w:hAnsi="Gill Sans MT"/>
              </w:rPr>
              <w:t>38M€ (</w:t>
            </w:r>
            <w:proofErr w:type="spellStart"/>
            <w:r w:rsidRPr="00E55CEE">
              <w:rPr>
                <w:rFonts w:ascii="Gill Sans MT" w:hAnsi="Gill Sans MT"/>
              </w:rPr>
              <w:t>aprox</w:t>
            </w:r>
            <w:proofErr w:type="spellEnd"/>
            <w:r w:rsidRPr="00E55CEE">
              <w:rPr>
                <w:rFonts w:ascii="Gill Sans MT" w:hAnsi="Gill Sans MT"/>
              </w:rPr>
              <w:t>)</w:t>
            </w:r>
          </w:p>
        </w:tc>
      </w:tr>
    </w:tbl>
    <w:p w:rsidR="00057CE3" w:rsidRPr="00E55CEE" w:rsidRDefault="00057CE3" w:rsidP="004F1DDA">
      <w:pPr>
        <w:spacing w:before="240"/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b/>
          <w:sz w:val="22"/>
        </w:rPr>
        <w:t>Objetivo</w:t>
      </w:r>
      <w:r w:rsidRPr="00E55CEE">
        <w:rPr>
          <w:rFonts w:ascii="Gill Sans MT" w:eastAsia="Gill Sans" w:hAnsi="Gill Sans MT" w:cs="Gill Sans"/>
          <w:sz w:val="22"/>
        </w:rPr>
        <w:t>:</w:t>
      </w:r>
      <w:r w:rsidR="00100235" w:rsidRPr="00E55CEE">
        <w:rPr>
          <w:rFonts w:ascii="Gill Sans MT" w:eastAsia="Gill Sans" w:hAnsi="Gill Sans MT" w:cs="Gill Sans"/>
          <w:sz w:val="22"/>
        </w:rPr>
        <w:t xml:space="preserve"> la programación conjunta y financiación de actividades de apoyo a la investigación e innovación en el marco de la Agenda Estratégica para la Medicina Personalizada de 2023.</w:t>
      </w:r>
    </w:p>
    <w:p w:rsidR="00100235" w:rsidRPr="00E55CEE" w:rsidRDefault="00100235" w:rsidP="00896938">
      <w:pPr>
        <w:jc w:val="both"/>
        <w:rPr>
          <w:rFonts w:ascii="Gill Sans MT" w:hAnsi="Gill Sans MT"/>
          <w:b/>
          <w:sz w:val="22"/>
        </w:rPr>
      </w:pPr>
    </w:p>
    <w:p w:rsidR="00E55CEE" w:rsidRPr="00E55CEE" w:rsidRDefault="00100235" w:rsidP="00E55CEE">
      <w:pPr>
        <w:jc w:val="both"/>
        <w:rPr>
          <w:rFonts w:ascii="Gill Sans MT" w:hAnsi="Gill Sans MT"/>
          <w:sz w:val="22"/>
        </w:rPr>
      </w:pPr>
      <w:r w:rsidRPr="00E55CEE">
        <w:rPr>
          <w:rFonts w:ascii="Gill Sans MT" w:hAnsi="Gill Sans MT"/>
          <w:b/>
          <w:sz w:val="22"/>
        </w:rPr>
        <w:t xml:space="preserve">Alcance: </w:t>
      </w:r>
      <w:r w:rsidRPr="00E55CEE">
        <w:rPr>
          <w:rFonts w:ascii="Gill Sans MT" w:hAnsi="Gill Sans MT"/>
          <w:sz w:val="22"/>
        </w:rPr>
        <w:t>La convocatoria para 202</w:t>
      </w:r>
      <w:r w:rsidR="004F1DDA" w:rsidRPr="00E55CEE">
        <w:rPr>
          <w:rFonts w:ascii="Gill Sans MT" w:hAnsi="Gill Sans MT"/>
          <w:sz w:val="22"/>
        </w:rPr>
        <w:t>6 pretende financiar proyectos innovadores multinacionales en medicina personalizada en el ámbito de las enfermedades cardiovasculares, metab</w:t>
      </w:r>
      <w:r w:rsidR="00E55CEE" w:rsidRPr="00E55CEE">
        <w:rPr>
          <w:rFonts w:ascii="Gill Sans MT" w:hAnsi="Gill Sans MT"/>
          <w:sz w:val="22"/>
        </w:rPr>
        <w:t xml:space="preserve">ólicas y renales. </w:t>
      </w:r>
      <w:r w:rsidR="00E55CEE" w:rsidRPr="00E55CEE">
        <w:rPr>
          <w:rFonts w:ascii="Gill Sans MT" w:hAnsi="Gill Sans MT"/>
          <w:sz w:val="22"/>
        </w:rPr>
        <w:t>Los proyectos pueden centrarse en una única enfermedad o explorarlas en conjunto, y deben tratar uno o más de los siguientes aspectos:</w:t>
      </w:r>
    </w:p>
    <w:p w:rsidR="00E55CEE" w:rsidRPr="00E55CEE" w:rsidRDefault="00E55CEE" w:rsidP="00E55CEE">
      <w:pPr>
        <w:pStyle w:val="Prrafodelista"/>
        <w:numPr>
          <w:ilvl w:val="0"/>
          <w:numId w:val="12"/>
        </w:numPr>
        <w:jc w:val="both"/>
        <w:rPr>
          <w:rFonts w:ascii="Gill Sans MT" w:hAnsi="Gill Sans MT"/>
          <w:sz w:val="22"/>
        </w:rPr>
      </w:pPr>
      <w:r w:rsidRPr="00E55CEE">
        <w:rPr>
          <w:rFonts w:ascii="Gill Sans MT" w:hAnsi="Gill Sans MT"/>
          <w:sz w:val="22"/>
        </w:rPr>
        <w:t>Enfoques terapéuticos innovadores y personalizados.</w:t>
      </w:r>
    </w:p>
    <w:p w:rsidR="00E55CEE" w:rsidRPr="00E55CEE" w:rsidRDefault="00E55CEE" w:rsidP="00E55CEE">
      <w:pPr>
        <w:pStyle w:val="Prrafodelista"/>
        <w:numPr>
          <w:ilvl w:val="0"/>
          <w:numId w:val="12"/>
        </w:numPr>
        <w:jc w:val="both"/>
        <w:rPr>
          <w:rFonts w:ascii="Gill Sans MT" w:hAnsi="Gill Sans MT"/>
          <w:sz w:val="22"/>
        </w:rPr>
      </w:pPr>
      <w:r w:rsidRPr="00E55CEE">
        <w:rPr>
          <w:rFonts w:ascii="Gill Sans MT" w:hAnsi="Gill Sans MT"/>
          <w:sz w:val="22"/>
        </w:rPr>
        <w:t>Monitoreo de la respuesta al tratamiento en pacientes para adaptar su tratamiento.</w:t>
      </w:r>
    </w:p>
    <w:p w:rsidR="00E55CEE" w:rsidRPr="00E55CEE" w:rsidRDefault="00E55CEE" w:rsidP="00812A38">
      <w:pPr>
        <w:pStyle w:val="Prrafodelista"/>
        <w:numPr>
          <w:ilvl w:val="0"/>
          <w:numId w:val="12"/>
        </w:num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hAnsi="Gill Sans MT"/>
          <w:sz w:val="22"/>
        </w:rPr>
        <w:t>Predicción temprana del riesgo de enfermedad y prevención de su empeoramiento o las comorbilidades.</w:t>
      </w:r>
    </w:p>
    <w:p w:rsidR="009571EE" w:rsidRPr="00E55CEE" w:rsidRDefault="00057CE3" w:rsidP="00E55CEE">
      <w:pPr>
        <w:spacing w:before="240"/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b/>
          <w:sz w:val="22"/>
        </w:rPr>
        <w:t>Requisitos de los solicitantes</w:t>
      </w:r>
      <w:r w:rsidRPr="00E55CEE">
        <w:rPr>
          <w:rFonts w:ascii="Gill Sans MT" w:eastAsia="Gill Sans" w:hAnsi="Gill Sans MT" w:cs="Gill Sans"/>
          <w:sz w:val="22"/>
        </w:rPr>
        <w:t>:</w:t>
      </w:r>
      <w:r w:rsidR="00297F54" w:rsidRPr="00E55CEE">
        <w:rPr>
          <w:rFonts w:ascii="Gill Sans MT" w:eastAsia="Gill Sans" w:hAnsi="Gill Sans MT" w:cs="Gill Sans"/>
          <w:sz w:val="22"/>
        </w:rPr>
        <w:t xml:space="preserve"> </w:t>
      </w:r>
      <w:r w:rsidR="009571EE" w:rsidRPr="00E55CEE">
        <w:rPr>
          <w:rFonts w:ascii="Gill Sans MT" w:eastAsia="Gill Sans" w:hAnsi="Gill Sans MT" w:cs="Gill Sans"/>
          <w:sz w:val="22"/>
        </w:rPr>
        <w:t>Podrán presentar propuestas conjuntas de investigación los solicitantes que pertenezcan a las siguientes categorías (sujetas a la normativa de financiación regional/nacional):</w:t>
      </w:r>
    </w:p>
    <w:p w:rsidR="00100235" w:rsidRPr="00E55CEE" w:rsidRDefault="00100235" w:rsidP="00896938">
      <w:pPr>
        <w:jc w:val="both"/>
        <w:rPr>
          <w:rFonts w:ascii="Gill Sans MT" w:eastAsia="Gill Sans" w:hAnsi="Gill Sans MT" w:cs="Gill Sans"/>
          <w:sz w:val="22"/>
        </w:rPr>
      </w:pPr>
    </w:p>
    <w:p w:rsidR="009571EE" w:rsidRPr="00E55CEE" w:rsidRDefault="009571EE" w:rsidP="00D077FE">
      <w:pPr>
        <w:pStyle w:val="Prrafodelista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sz w:val="22"/>
        </w:rPr>
        <w:t>Academia (equipos de investigación que trabajen en universidades, otras instituciones de educación superior) o institutos de investigación;</w:t>
      </w:r>
    </w:p>
    <w:p w:rsidR="009571EE" w:rsidRPr="00E55CEE" w:rsidRDefault="009571EE" w:rsidP="00D077FE">
      <w:pPr>
        <w:pStyle w:val="Prrafodelista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sz w:val="22"/>
        </w:rPr>
        <w:t>Sector clínico/sanitario (equipos de investigación que trabajen en hospitales/sanidad pública y/u otros centros sanitarios y organizaciones sanitarias). Se fomenta la participación de clínicos (por ejemplo, médicos o enfermeros) en los equipos de investigación;</w:t>
      </w:r>
    </w:p>
    <w:p w:rsidR="009571EE" w:rsidRPr="00E55CEE" w:rsidRDefault="009571EE" w:rsidP="00D077FE">
      <w:pPr>
        <w:pStyle w:val="Prrafodelista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sz w:val="22"/>
        </w:rPr>
        <w:t xml:space="preserve">Socios privados con ánimo de lucro (industria), por </w:t>
      </w:r>
      <w:r w:rsidR="00C70CEA" w:rsidRPr="00E55CEE">
        <w:rPr>
          <w:rFonts w:ascii="Gill Sans MT" w:eastAsia="Gill Sans" w:hAnsi="Gill Sans MT" w:cs="Gill Sans"/>
          <w:sz w:val="22"/>
        </w:rPr>
        <w:t>ejemplo,</w:t>
      </w:r>
      <w:r w:rsidRPr="00E55CEE">
        <w:rPr>
          <w:rFonts w:ascii="Gill Sans MT" w:eastAsia="Gill Sans" w:hAnsi="Gill Sans MT" w:cs="Gill Sans"/>
          <w:sz w:val="22"/>
        </w:rPr>
        <w:t xml:space="preserve"> PYME (pequeñas y medianas empresas) y socios privados sin ánimo de lucro, por </w:t>
      </w:r>
      <w:r w:rsidR="00C70CEA" w:rsidRPr="00E55CEE">
        <w:rPr>
          <w:rFonts w:ascii="Gill Sans MT" w:eastAsia="Gill Sans" w:hAnsi="Gill Sans MT" w:cs="Gill Sans"/>
          <w:sz w:val="22"/>
        </w:rPr>
        <w:t>ejemplo,</w:t>
      </w:r>
      <w:r w:rsidRPr="00E55CEE">
        <w:rPr>
          <w:rFonts w:ascii="Gill Sans MT" w:eastAsia="Gill Sans" w:hAnsi="Gill Sans MT" w:cs="Gill Sans"/>
          <w:sz w:val="22"/>
        </w:rPr>
        <w:t xml:space="preserve"> fundaciones, asociaciones u organizaciones no gubernamentales.</w:t>
      </w:r>
    </w:p>
    <w:p w:rsidR="00057CE3" w:rsidRPr="00E55CE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b/>
          <w:sz w:val="22"/>
        </w:rPr>
        <w:t>Participantes:</w:t>
      </w:r>
    </w:p>
    <w:p w:rsidR="00057CE3" w:rsidRPr="00E55CEE" w:rsidRDefault="009571EE" w:rsidP="00896938">
      <w:p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sz w:val="22"/>
        </w:rPr>
        <w:t>Alemania</w:t>
      </w:r>
      <w:r w:rsidR="00100235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>, Austria</w:t>
      </w:r>
      <w:r w:rsidR="00100235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>, Bélgica, Dinamarca,</w:t>
      </w:r>
      <w:r w:rsidR="00E55CEE" w:rsidRPr="00E55CEE">
        <w:rPr>
          <w:rFonts w:ascii="Gill Sans MT" w:eastAsia="Gill Sans" w:hAnsi="Gill Sans MT" w:cs="Gill Sans"/>
          <w:sz w:val="22"/>
        </w:rPr>
        <w:t xml:space="preserve"> Eslovaquia,</w:t>
      </w:r>
      <w:r w:rsidRPr="00E55CEE">
        <w:rPr>
          <w:rFonts w:ascii="Gill Sans MT" w:eastAsia="Gill Sans" w:hAnsi="Gill Sans MT" w:cs="Gill Sans"/>
          <w:sz w:val="22"/>
        </w:rPr>
        <w:t xml:space="preserve"> España, Estonia, Finlandia, Francia, Grecia, Hungría, Irlanda, Islandia, Israel, Italia</w:t>
      </w:r>
      <w:r w:rsidR="00E55CEE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>, Letonia</w:t>
      </w:r>
      <w:r w:rsidR="00E55CEE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 xml:space="preserve">, Lituania, Luxemburgo, Noruega, </w:t>
      </w:r>
      <w:r w:rsidR="00E55CEE" w:rsidRPr="00E55CEE">
        <w:rPr>
          <w:rFonts w:ascii="Gill Sans MT" w:eastAsia="Gill Sans" w:hAnsi="Gill Sans MT" w:cs="Gill Sans"/>
          <w:sz w:val="22"/>
        </w:rPr>
        <w:t xml:space="preserve">Países Bajos*, </w:t>
      </w:r>
      <w:r w:rsidRPr="00E55CEE">
        <w:rPr>
          <w:rFonts w:ascii="Gill Sans MT" w:eastAsia="Gill Sans" w:hAnsi="Gill Sans MT" w:cs="Gill Sans"/>
          <w:sz w:val="22"/>
        </w:rPr>
        <w:t>Polonia, Portugal</w:t>
      </w:r>
      <w:r w:rsidR="00100235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>, República Checa,</w:t>
      </w:r>
      <w:r w:rsidR="00E55CEE" w:rsidRPr="00E55CEE">
        <w:rPr>
          <w:rFonts w:ascii="Gill Sans MT" w:eastAsia="Gill Sans" w:hAnsi="Gill Sans MT" w:cs="Gill Sans"/>
          <w:sz w:val="22"/>
        </w:rPr>
        <w:t xml:space="preserve"> Rumanía,</w:t>
      </w:r>
      <w:r w:rsidRPr="00E55CEE">
        <w:rPr>
          <w:rFonts w:ascii="Gill Sans MT" w:eastAsia="Gill Sans" w:hAnsi="Gill Sans MT" w:cs="Gill Sans"/>
          <w:sz w:val="22"/>
        </w:rPr>
        <w:t xml:space="preserve"> </w:t>
      </w:r>
      <w:r w:rsidR="00E55CEE" w:rsidRPr="00E55CEE">
        <w:rPr>
          <w:rFonts w:ascii="Gill Sans MT" w:eastAsia="Gill Sans" w:hAnsi="Gill Sans MT" w:cs="Gill Sans"/>
          <w:sz w:val="22"/>
        </w:rPr>
        <w:t xml:space="preserve">Sudáfrica, </w:t>
      </w:r>
      <w:r w:rsidRPr="00E55CEE">
        <w:rPr>
          <w:rFonts w:ascii="Gill Sans MT" w:eastAsia="Gill Sans" w:hAnsi="Gill Sans MT" w:cs="Gill Sans"/>
          <w:sz w:val="22"/>
        </w:rPr>
        <w:t>Suecia y Turquía</w:t>
      </w:r>
      <w:r w:rsidR="00100235" w:rsidRPr="00E55CEE">
        <w:rPr>
          <w:rFonts w:ascii="Gill Sans MT" w:eastAsia="Gill Sans" w:hAnsi="Gill Sans MT" w:cs="Gill Sans"/>
          <w:sz w:val="22"/>
        </w:rPr>
        <w:t>*</w:t>
      </w:r>
      <w:r w:rsidRPr="00E55CEE">
        <w:rPr>
          <w:rFonts w:ascii="Gill Sans MT" w:eastAsia="Gill Sans" w:hAnsi="Gill Sans MT" w:cs="Gill Sans"/>
          <w:sz w:val="22"/>
        </w:rPr>
        <w:t>.</w:t>
      </w:r>
    </w:p>
    <w:p w:rsidR="00100235" w:rsidRPr="00E55CEE" w:rsidRDefault="00100235" w:rsidP="00896938">
      <w:pPr>
        <w:jc w:val="both"/>
        <w:rPr>
          <w:rFonts w:ascii="Gill Sans MT" w:eastAsia="Gill Sans" w:hAnsi="Gill Sans MT" w:cs="Gill Sans"/>
          <w:sz w:val="22"/>
        </w:rPr>
      </w:pPr>
    </w:p>
    <w:p w:rsidR="00100235" w:rsidRPr="00E55CEE" w:rsidRDefault="00100235">
      <w:pPr>
        <w:jc w:val="both"/>
        <w:rPr>
          <w:rFonts w:ascii="Gill Sans MT" w:eastAsia="Gill Sans" w:hAnsi="Gill Sans MT" w:cs="Gill Sans"/>
          <w:i/>
          <w:sz w:val="22"/>
        </w:rPr>
      </w:pPr>
      <w:r w:rsidRPr="00E55CEE">
        <w:rPr>
          <w:rFonts w:ascii="Gill Sans MT" w:eastAsia="Gill Sans" w:hAnsi="Gill Sans MT" w:cs="Gill Sans"/>
          <w:i/>
          <w:sz w:val="22"/>
        </w:rPr>
        <w:t>*Participación final no confirmada.</w:t>
      </w:r>
    </w:p>
    <w:p w:rsidR="009571EE" w:rsidRPr="00E55CEE" w:rsidRDefault="009571EE" w:rsidP="00896938">
      <w:pPr>
        <w:jc w:val="both"/>
        <w:rPr>
          <w:rFonts w:ascii="Gill Sans MT" w:eastAsia="Gill Sans" w:hAnsi="Gill Sans MT" w:cs="Gill Sans"/>
          <w:sz w:val="22"/>
        </w:rPr>
      </w:pPr>
    </w:p>
    <w:p w:rsidR="00297F54" w:rsidRPr="00E55CE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b/>
          <w:sz w:val="22"/>
        </w:rPr>
        <w:t>Financiación:</w:t>
      </w:r>
      <w:r w:rsidR="00297F54" w:rsidRPr="00E55CEE">
        <w:rPr>
          <w:rFonts w:ascii="Gill Sans MT" w:eastAsia="Gill Sans" w:hAnsi="Gill Sans MT" w:cs="Gill Sans"/>
          <w:sz w:val="22"/>
        </w:rPr>
        <w:t xml:space="preserve"> Las condiciones finales serán determinadas por cada una de las agencias financiadoras. Para toda España, sólo financia el ISCIII.</w:t>
      </w:r>
    </w:p>
    <w:p w:rsidR="009571EE" w:rsidRPr="00E55CEE" w:rsidRDefault="009571EE" w:rsidP="00896938">
      <w:pPr>
        <w:jc w:val="both"/>
        <w:rPr>
          <w:rFonts w:ascii="Gill Sans MT" w:eastAsia="Gill Sans" w:hAnsi="Gill Sans MT" w:cs="Gill Sans"/>
          <w:sz w:val="22"/>
        </w:rPr>
      </w:pPr>
    </w:p>
    <w:p w:rsidR="00057CE3" w:rsidRPr="00E55CE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b/>
          <w:sz w:val="22"/>
        </w:rPr>
        <w:t>Más información:</w:t>
      </w:r>
      <w:r w:rsidRPr="00E55CEE">
        <w:rPr>
          <w:rFonts w:ascii="Gill Sans MT" w:eastAsia="Gill Sans" w:hAnsi="Gill Sans MT" w:cs="Gill Sans"/>
          <w:sz w:val="22"/>
        </w:rPr>
        <w:t xml:space="preserve"> </w:t>
      </w:r>
    </w:p>
    <w:p w:rsidR="00057CE3" w:rsidRPr="00E55CE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E55CEE">
        <w:rPr>
          <w:rFonts w:ascii="Gill Sans MT" w:eastAsia="Gill Sans" w:hAnsi="Gill Sans MT" w:cs="Gill Sans"/>
          <w:sz w:val="22"/>
        </w:rPr>
        <w:t xml:space="preserve">Ponerse en contacto con la </w:t>
      </w:r>
      <w:hyperlink r:id="rId8">
        <w:r w:rsidRPr="00D077FE">
          <w:rPr>
            <w:rStyle w:val="EnlacedeInternet"/>
            <w:rFonts w:ascii="Gill Sans MT" w:eastAsia="Gill Sans" w:hAnsi="Gill Sans MT" w:cs="Gill Sans"/>
            <w:sz w:val="22"/>
          </w:rPr>
          <w:t>Plataforma de Internacionalización</w:t>
        </w:r>
      </w:hyperlink>
      <w:r w:rsidR="00E55CEE">
        <w:rPr>
          <w:rStyle w:val="EnlacedeInternet"/>
          <w:rFonts w:ascii="Gill Sans MT" w:eastAsia="Gill Sans" w:hAnsi="Gill Sans MT" w:cs="Gill Sans"/>
          <w:color w:val="auto"/>
          <w:sz w:val="22"/>
          <w:u w:val="none"/>
        </w:rPr>
        <w:t xml:space="preserve"> antes del </w:t>
      </w:r>
      <w:r w:rsidR="00E55CEE" w:rsidRPr="00E55CEE">
        <w:rPr>
          <w:rStyle w:val="EnlacedeInternet"/>
          <w:rFonts w:ascii="Gill Sans MT" w:eastAsia="Gill Sans" w:hAnsi="Gill Sans MT" w:cs="Gill Sans"/>
          <w:b/>
          <w:color w:val="auto"/>
          <w:sz w:val="22"/>
          <w:u w:val="none"/>
        </w:rPr>
        <w:t>10 de enero de 2026</w:t>
      </w:r>
      <w:r w:rsidR="00E55CEE">
        <w:rPr>
          <w:rStyle w:val="EnlacedeInternet"/>
          <w:rFonts w:ascii="Gill Sans MT" w:eastAsia="Gill Sans" w:hAnsi="Gill Sans MT" w:cs="Gill Sans"/>
          <w:color w:val="auto"/>
          <w:sz w:val="22"/>
          <w:u w:val="none"/>
        </w:rPr>
        <w:t>.</w:t>
      </w:r>
    </w:p>
    <w:p w:rsidR="00057CE3" w:rsidRPr="00D077F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D077FE">
        <w:rPr>
          <w:rFonts w:ascii="Gill Sans MT" w:eastAsia="Gill Sans" w:hAnsi="Gill Sans MT" w:cs="Gill Sans"/>
          <w:sz w:val="22"/>
        </w:rPr>
        <w:t xml:space="preserve">Habrá un </w:t>
      </w:r>
      <w:proofErr w:type="spellStart"/>
      <w:r w:rsidRPr="00D077FE">
        <w:rPr>
          <w:rFonts w:ascii="Gill Sans MT" w:eastAsia="Gill Sans" w:hAnsi="Gill Sans MT" w:cs="Gill Sans"/>
          <w:sz w:val="22"/>
        </w:rPr>
        <w:t>webinario</w:t>
      </w:r>
      <w:proofErr w:type="spellEnd"/>
      <w:r w:rsidRPr="00D077FE">
        <w:rPr>
          <w:rFonts w:ascii="Gill Sans MT" w:eastAsia="Gill Sans" w:hAnsi="Gill Sans MT" w:cs="Gill Sans"/>
          <w:sz w:val="22"/>
        </w:rPr>
        <w:t xml:space="preserve"> de información (en inglés) el </w:t>
      </w:r>
      <w:r w:rsidR="00E55CEE" w:rsidRPr="00E55CEE">
        <w:rPr>
          <w:rFonts w:ascii="Gill Sans MT" w:eastAsia="Gill Sans" w:hAnsi="Gill Sans MT" w:cs="Gill Sans"/>
          <w:b/>
          <w:sz w:val="22"/>
        </w:rPr>
        <w:t>16</w:t>
      </w:r>
      <w:r w:rsidR="00896938" w:rsidRPr="00E55CEE">
        <w:rPr>
          <w:rFonts w:ascii="Gill Sans MT" w:eastAsia="Gill Sans" w:hAnsi="Gill Sans MT" w:cs="Gill Sans"/>
          <w:b/>
          <w:sz w:val="22"/>
        </w:rPr>
        <w:t xml:space="preserve"> d</w:t>
      </w:r>
      <w:r w:rsidR="00896938" w:rsidRPr="00D077FE">
        <w:rPr>
          <w:rFonts w:ascii="Gill Sans MT" w:eastAsia="Gill Sans" w:hAnsi="Gill Sans MT" w:cs="Gill Sans"/>
          <w:b/>
          <w:sz w:val="22"/>
        </w:rPr>
        <w:t xml:space="preserve">e </w:t>
      </w:r>
      <w:r w:rsidR="00E55CEE">
        <w:rPr>
          <w:rFonts w:ascii="Gill Sans MT" w:eastAsia="Gill Sans" w:hAnsi="Gill Sans MT" w:cs="Gill Sans"/>
          <w:b/>
          <w:sz w:val="22"/>
        </w:rPr>
        <w:t xml:space="preserve">diciembre </w:t>
      </w:r>
      <w:r w:rsidR="00896938" w:rsidRPr="00D077FE">
        <w:rPr>
          <w:rFonts w:ascii="Gill Sans MT" w:eastAsia="Gill Sans" w:hAnsi="Gill Sans MT" w:cs="Gill Sans"/>
          <w:b/>
          <w:sz w:val="22"/>
        </w:rPr>
        <w:t>de</w:t>
      </w:r>
      <w:r w:rsidRPr="00D077FE">
        <w:rPr>
          <w:rFonts w:ascii="Gill Sans MT" w:eastAsia="Gill Sans" w:hAnsi="Gill Sans MT" w:cs="Gill Sans"/>
          <w:b/>
          <w:sz w:val="22"/>
        </w:rPr>
        <w:t xml:space="preserve"> 2025</w:t>
      </w:r>
    </w:p>
    <w:p w:rsidR="00057CE3" w:rsidRPr="00D077FE" w:rsidRDefault="00E55CEE" w:rsidP="00896938">
      <w:pPr>
        <w:jc w:val="both"/>
        <w:rPr>
          <w:rFonts w:ascii="Gill Sans MT" w:eastAsia="Gill Sans" w:hAnsi="Gill Sans MT" w:cs="Gill Sans"/>
          <w:sz w:val="22"/>
        </w:rPr>
      </w:pPr>
      <w:hyperlink r:id="rId9" w:history="1">
        <w:r w:rsidR="00057CE3" w:rsidRPr="00E55CEE">
          <w:rPr>
            <w:rStyle w:val="Hipervnculo"/>
            <w:rFonts w:ascii="Gill Sans MT" w:eastAsia="Gill Sans" w:hAnsi="Gill Sans MT" w:cs="Gill Sans"/>
            <w:sz w:val="22"/>
          </w:rPr>
          <w:t>Texto íntegro del pre-anuncio</w:t>
        </w:r>
      </w:hyperlink>
      <w:r w:rsidR="00057CE3" w:rsidRPr="00E55CEE">
        <w:rPr>
          <w:rFonts w:ascii="Gill Sans MT" w:eastAsia="Gill Sans" w:hAnsi="Gill Sans MT" w:cs="Gill Sans"/>
          <w:sz w:val="22"/>
        </w:rPr>
        <w:t>.</w:t>
      </w:r>
    </w:p>
    <w:p w:rsidR="004A27A7" w:rsidRPr="00D077FE" w:rsidRDefault="004A27A7">
      <w:pPr>
        <w:jc w:val="both"/>
        <w:rPr>
          <w:rFonts w:ascii="Gill Sans MT" w:eastAsia="Gill Sans" w:hAnsi="Gill Sans MT" w:cs="Gill Sans"/>
          <w:sz w:val="22"/>
        </w:rPr>
      </w:pPr>
    </w:p>
    <w:sectPr w:rsidR="004A27A7" w:rsidRPr="00D077F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4A" w:rsidRDefault="009C667C">
      <w:r>
        <w:separator/>
      </w:r>
    </w:p>
  </w:endnote>
  <w:endnote w:type="continuationSeparator" w:id="0">
    <w:p w:rsidR="00053E4A" w:rsidRDefault="009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9B" w:rsidRDefault="000E7E9B">
    <w:pPr>
      <w:widowControl w:val="0"/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Layout w:type="fixed"/>
      <w:tblLook w:val="0000" w:firstRow="0" w:lastRow="0" w:firstColumn="0" w:lastColumn="0" w:noHBand="0" w:noVBand="0"/>
    </w:tblPr>
    <w:tblGrid>
      <w:gridCol w:w="8473"/>
    </w:tblGrid>
    <w:tr w:rsidR="000E7E9B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0E7E9B" w:rsidRDefault="00E55CEE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9C667C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 xml:space="preserve"> PAGE </w:instrTex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E55CEE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1</w: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4A" w:rsidRDefault="009C667C">
      <w:r>
        <w:separator/>
      </w:r>
    </w:p>
  </w:footnote>
  <w:footnote w:type="continuationSeparator" w:id="0">
    <w:p w:rsidR="00053E4A" w:rsidRDefault="009C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9B" w:rsidRDefault="000E7E9B">
    <w:pPr>
      <w:widowControl w:val="0"/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Layout w:type="fixed"/>
      <w:tblLook w:val="0000" w:firstRow="0" w:lastRow="0" w:firstColumn="0" w:lastColumn="0" w:noHBand="0" w:noVBand="0"/>
    </w:tblPr>
    <w:tblGrid>
      <w:gridCol w:w="1724"/>
      <w:gridCol w:w="5106"/>
      <w:gridCol w:w="1674"/>
    </w:tblGrid>
    <w:tr w:rsidR="000E7E9B">
      <w:trPr>
        <w:trHeight w:val="700"/>
      </w:trPr>
      <w:tc>
        <w:tcPr>
          <w:tcW w:w="1724" w:type="dxa"/>
          <w:tcBorders>
            <w:right w:val="single" w:sz="36" w:space="0" w:color="999999"/>
          </w:tcBorders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866775" cy="44767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6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0E7E9B" w:rsidRDefault="009C667C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41655" cy="541655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0170"/>
    <w:multiLevelType w:val="hybridMultilevel"/>
    <w:tmpl w:val="375EA4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23331"/>
    <w:multiLevelType w:val="hybridMultilevel"/>
    <w:tmpl w:val="D0EA58FE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231"/>
    <w:multiLevelType w:val="hybridMultilevel"/>
    <w:tmpl w:val="949481C6"/>
    <w:lvl w:ilvl="0" w:tplc="DC0AEB90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7849"/>
    <w:multiLevelType w:val="hybridMultilevel"/>
    <w:tmpl w:val="D250D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0CEC"/>
    <w:multiLevelType w:val="hybridMultilevel"/>
    <w:tmpl w:val="1506D7E2"/>
    <w:lvl w:ilvl="0" w:tplc="9122419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sz w:val="24"/>
      </w:rPr>
    </w:lvl>
    <w:lvl w:ilvl="1" w:tplc="9DC8A02E">
      <w:numFmt w:val="bullet"/>
      <w:lvlText w:val="-"/>
      <w:lvlJc w:val="left"/>
      <w:pPr>
        <w:ind w:left="1440" w:hanging="360"/>
      </w:pPr>
      <w:rPr>
        <w:rFonts w:ascii="Gill Sans MT" w:eastAsia="Gill Sans" w:hAnsi="Gill Sans MT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26D4"/>
    <w:multiLevelType w:val="hybridMultilevel"/>
    <w:tmpl w:val="92369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A7532"/>
    <w:multiLevelType w:val="multilevel"/>
    <w:tmpl w:val="9F10B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58F36BB"/>
    <w:multiLevelType w:val="hybridMultilevel"/>
    <w:tmpl w:val="1D8CE206"/>
    <w:lvl w:ilvl="0" w:tplc="48A2EBBC">
      <w:numFmt w:val="bullet"/>
      <w:lvlText w:val="-"/>
      <w:lvlJc w:val="left"/>
      <w:pPr>
        <w:ind w:left="855" w:hanging="495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50C6"/>
    <w:multiLevelType w:val="multilevel"/>
    <w:tmpl w:val="194CE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8212F52"/>
    <w:multiLevelType w:val="hybridMultilevel"/>
    <w:tmpl w:val="0CBA7E08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62CA1"/>
    <w:multiLevelType w:val="hybridMultilevel"/>
    <w:tmpl w:val="9F424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03402"/>
    <w:multiLevelType w:val="hybridMultilevel"/>
    <w:tmpl w:val="D094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B"/>
    <w:rsid w:val="00036B2D"/>
    <w:rsid w:val="00053E4A"/>
    <w:rsid w:val="00057CE3"/>
    <w:rsid w:val="000D5E16"/>
    <w:rsid w:val="000E7E9B"/>
    <w:rsid w:val="00100235"/>
    <w:rsid w:val="0014482A"/>
    <w:rsid w:val="00183276"/>
    <w:rsid w:val="001903CA"/>
    <w:rsid w:val="00195D84"/>
    <w:rsid w:val="001C5714"/>
    <w:rsid w:val="00297F54"/>
    <w:rsid w:val="00312663"/>
    <w:rsid w:val="00345E75"/>
    <w:rsid w:val="003C6D87"/>
    <w:rsid w:val="003E1ADA"/>
    <w:rsid w:val="0044006C"/>
    <w:rsid w:val="004A27A7"/>
    <w:rsid w:val="004F1DDA"/>
    <w:rsid w:val="00591337"/>
    <w:rsid w:val="005C139E"/>
    <w:rsid w:val="005E2356"/>
    <w:rsid w:val="00740764"/>
    <w:rsid w:val="007457CF"/>
    <w:rsid w:val="0077490B"/>
    <w:rsid w:val="00797870"/>
    <w:rsid w:val="007E33E4"/>
    <w:rsid w:val="007F31F5"/>
    <w:rsid w:val="00896938"/>
    <w:rsid w:val="009571EE"/>
    <w:rsid w:val="009630F6"/>
    <w:rsid w:val="009C667C"/>
    <w:rsid w:val="00A21B49"/>
    <w:rsid w:val="00A56C8C"/>
    <w:rsid w:val="00AA1056"/>
    <w:rsid w:val="00B31784"/>
    <w:rsid w:val="00B612E2"/>
    <w:rsid w:val="00C25644"/>
    <w:rsid w:val="00C4283C"/>
    <w:rsid w:val="00C70CEA"/>
    <w:rsid w:val="00D022F6"/>
    <w:rsid w:val="00D077FE"/>
    <w:rsid w:val="00E55CEE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2179"/>
  <w15:docId w15:val="{C604FA4B-0908-4A5B-8E6B-6B157B3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7A7"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15F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76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76D9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36A32"/>
    <w:rPr>
      <w:color w:val="800080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96B44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C667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E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A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71EE"/>
    <w:pPr>
      <w:suppressAutoHyphens w:val="0"/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2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ipaz.es/PaginaDinamica.aspx?IdPag=557&amp;Lang=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permed.eu/funding-projects/calls/jtc2026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dc:description/>
  <cp:lastModifiedBy>fundacionhulp</cp:lastModifiedBy>
  <cp:revision>3</cp:revision>
  <dcterms:created xsi:type="dcterms:W3CDTF">2025-10-28T11:12:00Z</dcterms:created>
  <dcterms:modified xsi:type="dcterms:W3CDTF">2025-10-28T11:31:00Z</dcterms:modified>
  <dc:language>es-ES</dc:language>
</cp:coreProperties>
</file>