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FDD6" w14:textId="2FE8EACE" w:rsidR="00DC72CB" w:rsidRDefault="00DC72CB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sz w:val="36"/>
          <w:szCs w:val="48"/>
        </w:rPr>
      </w:pPr>
      <w:r>
        <w:rPr>
          <w:noProof/>
        </w:rPr>
        <w:drawing>
          <wp:inline distT="0" distB="0" distL="0" distR="0" wp14:anchorId="162BEEBC" wp14:editId="1FF0B29A">
            <wp:extent cx="2324100" cy="756959"/>
            <wp:effectExtent l="0" t="0" r="0" b="5080"/>
            <wp:docPr id="6" name="Imagen 6" descr="Home Page CSA BrainHealth - CSA Brain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Page CSA BrainHealth - CSA BrainHeal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43" cy="78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790F" w14:textId="46A6D1A8" w:rsidR="00793F7E" w:rsidRDefault="002607BE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sz w:val="36"/>
          <w:szCs w:val="48"/>
        </w:rPr>
      </w:pPr>
      <w:r w:rsidRPr="002607BE">
        <w:rPr>
          <w:rFonts w:ascii="Gill Sans MT" w:hAnsi="Gill Sans MT"/>
          <w:b/>
          <w:sz w:val="36"/>
          <w:szCs w:val="48"/>
        </w:rPr>
        <w:t xml:space="preserve">European </w:t>
      </w:r>
      <w:proofErr w:type="spellStart"/>
      <w:r w:rsidRPr="002607BE">
        <w:rPr>
          <w:rFonts w:ascii="Gill Sans MT" w:hAnsi="Gill Sans MT"/>
          <w:b/>
          <w:sz w:val="36"/>
          <w:szCs w:val="48"/>
        </w:rPr>
        <w:t>Partnership</w:t>
      </w:r>
      <w:proofErr w:type="spellEnd"/>
      <w:r w:rsidRPr="002607BE">
        <w:rPr>
          <w:rFonts w:ascii="Gill Sans MT" w:hAnsi="Gill Sans MT"/>
          <w:b/>
          <w:sz w:val="36"/>
          <w:szCs w:val="48"/>
        </w:rPr>
        <w:t xml:space="preserve"> </w:t>
      </w:r>
      <w:proofErr w:type="spellStart"/>
      <w:r w:rsidR="00DC72CB" w:rsidRPr="00DC72CB">
        <w:rPr>
          <w:rFonts w:ascii="Gill Sans MT" w:hAnsi="Gill Sans MT"/>
          <w:b/>
          <w:sz w:val="36"/>
          <w:szCs w:val="48"/>
        </w:rPr>
        <w:t>BrainHealth</w:t>
      </w:r>
      <w:proofErr w:type="spellEnd"/>
    </w:p>
    <w:p w14:paraId="41AD0149" w14:textId="0FE18758" w:rsidR="00C27A67" w:rsidRDefault="002607BE" w:rsidP="00C27A67">
      <w:pPr>
        <w:spacing w:before="240"/>
        <w:jc w:val="center"/>
        <w:rPr>
          <w:rFonts w:ascii="Gill Sans MT" w:eastAsia="Gill Sans" w:hAnsi="Gill Sans MT" w:cs="Gill Sans"/>
          <w:sz w:val="28"/>
          <w:szCs w:val="28"/>
        </w:rPr>
      </w:pPr>
      <w:r>
        <w:rPr>
          <w:rFonts w:ascii="Gill Sans MT" w:eastAsia="Gill Sans" w:hAnsi="Gill Sans MT" w:cs="Gill Sans"/>
          <w:sz w:val="28"/>
          <w:szCs w:val="28"/>
        </w:rPr>
        <w:t xml:space="preserve">Pre-anuncio </w:t>
      </w:r>
      <w:r w:rsidR="006F7918">
        <w:rPr>
          <w:rFonts w:ascii="Gill Sans MT" w:eastAsia="Gill Sans" w:hAnsi="Gill Sans MT" w:cs="Gill Sans"/>
          <w:sz w:val="28"/>
          <w:szCs w:val="28"/>
        </w:rPr>
        <w:t xml:space="preserve">de </w:t>
      </w:r>
      <w:r w:rsidR="006F0ECA">
        <w:rPr>
          <w:rFonts w:ascii="Gill Sans MT" w:eastAsia="Gill Sans" w:hAnsi="Gill Sans MT" w:cs="Gill Sans"/>
          <w:sz w:val="28"/>
          <w:szCs w:val="28"/>
        </w:rPr>
        <w:t xml:space="preserve">las </w:t>
      </w:r>
      <w:r w:rsidR="006F7918">
        <w:rPr>
          <w:rFonts w:ascii="Gill Sans MT" w:eastAsia="Gill Sans" w:hAnsi="Gill Sans MT" w:cs="Gill Sans"/>
          <w:sz w:val="28"/>
          <w:szCs w:val="28"/>
        </w:rPr>
        <w:t xml:space="preserve">dos </w:t>
      </w:r>
      <w:r w:rsidRPr="009E1EAE">
        <w:rPr>
          <w:rFonts w:ascii="Gill Sans MT" w:eastAsia="Gill Sans" w:hAnsi="Gill Sans MT" w:cs="Gill Sans"/>
          <w:sz w:val="28"/>
          <w:szCs w:val="28"/>
        </w:rPr>
        <w:t>Convocatoria</w:t>
      </w:r>
      <w:r w:rsidR="00DC72CB">
        <w:rPr>
          <w:rFonts w:ascii="Gill Sans MT" w:eastAsia="Gill Sans" w:hAnsi="Gill Sans MT" w:cs="Gill Sans"/>
          <w:sz w:val="28"/>
          <w:szCs w:val="28"/>
        </w:rPr>
        <w:t>s</w:t>
      </w:r>
      <w:r>
        <w:rPr>
          <w:rFonts w:ascii="Gill Sans MT" w:eastAsia="Gill Sans" w:hAnsi="Gill Sans MT" w:cs="Gill Sans"/>
          <w:sz w:val="28"/>
          <w:szCs w:val="28"/>
        </w:rPr>
        <w:t xml:space="preserve"> Transnacional</w:t>
      </w:r>
      <w:r w:rsidR="00DC72CB">
        <w:rPr>
          <w:rFonts w:ascii="Gill Sans MT" w:eastAsia="Gill Sans" w:hAnsi="Gill Sans MT" w:cs="Gill Sans"/>
          <w:sz w:val="28"/>
          <w:szCs w:val="28"/>
        </w:rPr>
        <w:t>es</w:t>
      </w:r>
      <w:r>
        <w:rPr>
          <w:rFonts w:ascii="Gill Sans MT" w:eastAsia="Gill Sans" w:hAnsi="Gill Sans MT" w:cs="Gill Sans"/>
          <w:sz w:val="28"/>
          <w:szCs w:val="28"/>
        </w:rPr>
        <w:t xml:space="preserve"> Conjunta</w:t>
      </w:r>
      <w:r w:rsidR="00DC72CB">
        <w:rPr>
          <w:rFonts w:ascii="Gill Sans MT" w:eastAsia="Gill Sans" w:hAnsi="Gill Sans MT" w:cs="Gill Sans"/>
          <w:sz w:val="28"/>
          <w:szCs w:val="28"/>
        </w:rPr>
        <w:t>s</w:t>
      </w:r>
      <w:r w:rsidR="006F0ECA">
        <w:rPr>
          <w:rFonts w:ascii="Gill Sans MT" w:eastAsia="Gill Sans" w:hAnsi="Gill Sans MT" w:cs="Gill Sans"/>
          <w:sz w:val="28"/>
          <w:szCs w:val="28"/>
        </w:rPr>
        <w:t xml:space="preserve"> de</w:t>
      </w:r>
      <w:r w:rsidRPr="009E1EAE">
        <w:rPr>
          <w:rFonts w:ascii="Gill Sans MT" w:eastAsia="Gill Sans" w:hAnsi="Gill Sans MT" w:cs="Gill Sans"/>
          <w:sz w:val="28"/>
          <w:szCs w:val="28"/>
        </w:rPr>
        <w:t xml:space="preserve"> 202</w:t>
      </w:r>
      <w:r>
        <w:rPr>
          <w:rFonts w:ascii="Gill Sans MT" w:eastAsia="Gill Sans" w:hAnsi="Gill Sans MT" w:cs="Gill Sans"/>
          <w:sz w:val="28"/>
          <w:szCs w:val="28"/>
        </w:rPr>
        <w:t>6</w:t>
      </w:r>
    </w:p>
    <w:p w14:paraId="7965059C" w14:textId="0A78686A" w:rsidR="002607BE" w:rsidRPr="00504194" w:rsidRDefault="006F7918" w:rsidP="006F7918">
      <w:pPr>
        <w:pStyle w:val="NormalWeb"/>
        <w:suppressAutoHyphens/>
        <w:spacing w:before="0" w:beforeAutospacing="0" w:after="240" w:afterAutospacing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eastAsia="Gill Sans" w:hAnsi="Gill Sans MT" w:cs="Gill Sans"/>
          <w:b/>
          <w:sz w:val="28"/>
          <w:szCs w:val="28"/>
        </w:rPr>
        <w:t>I</w:t>
      </w:r>
      <w:r w:rsidR="00C27A67" w:rsidRPr="00C27A67">
        <w:rPr>
          <w:rFonts w:ascii="Gill Sans MT" w:eastAsia="Gill Sans" w:hAnsi="Gill Sans MT" w:cs="Gill Sans"/>
          <w:b/>
          <w:sz w:val="28"/>
          <w:szCs w:val="28"/>
        </w:rPr>
        <w:t xml:space="preserve">nvestigación innovadora </w:t>
      </w:r>
      <w:r w:rsidR="00C27A67" w:rsidRPr="006F0ECA">
        <w:rPr>
          <w:rFonts w:ascii="Gill Sans MT" w:eastAsia="Gill Sans" w:hAnsi="Gill Sans MT" w:cs="Gill Sans"/>
          <w:b/>
          <w:sz w:val="28"/>
          <w:szCs w:val="28"/>
          <w:u w:val="single"/>
        </w:rPr>
        <w:t>sobre trastornos neurológicos, mentales y sensoriales</w:t>
      </w:r>
      <w:r w:rsidR="00C27A67" w:rsidRPr="00C27A67">
        <w:rPr>
          <w:rFonts w:ascii="Gill Sans MT" w:eastAsia="Gill Sans" w:hAnsi="Gill Sans MT" w:cs="Gill Sans"/>
          <w:b/>
          <w:sz w:val="28"/>
          <w:szCs w:val="28"/>
        </w:rPr>
        <w:t xml:space="preserve"> (Convocatoria 1) y </w:t>
      </w:r>
      <w:r w:rsidR="00C27A67" w:rsidRPr="006F0ECA">
        <w:rPr>
          <w:rFonts w:ascii="Gill Sans MT" w:eastAsia="Gill Sans" w:hAnsi="Gill Sans MT" w:cs="Gill Sans"/>
          <w:b/>
          <w:sz w:val="28"/>
          <w:szCs w:val="28"/>
          <w:u w:val="single"/>
        </w:rPr>
        <w:t>enfermedades neur</w:t>
      </w:r>
      <w:r w:rsidRPr="006F0ECA">
        <w:rPr>
          <w:rFonts w:ascii="Gill Sans MT" w:eastAsia="Gill Sans" w:hAnsi="Gill Sans MT" w:cs="Gill Sans"/>
          <w:b/>
          <w:sz w:val="28"/>
          <w:szCs w:val="28"/>
          <w:u w:val="single"/>
        </w:rPr>
        <w:t>odegenerativas</w:t>
      </w:r>
      <w:r>
        <w:rPr>
          <w:rFonts w:ascii="Gill Sans MT" w:eastAsia="Gill Sans" w:hAnsi="Gill Sans MT" w:cs="Gill Sans"/>
          <w:b/>
          <w:sz w:val="28"/>
          <w:szCs w:val="28"/>
        </w:rPr>
        <w:t xml:space="preserve"> (Convocatoria 2)</w:t>
      </w: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8F54AA" w:rsidRPr="009E1EAE" w14:paraId="0AF17553" w14:textId="77777777" w:rsidTr="004A2A00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5309" w14:textId="4C457324" w:rsidR="008F54AA" w:rsidRPr="009E1EAE" w:rsidRDefault="008F54AA" w:rsidP="008F54AA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8</w:t>
            </w:r>
            <w:r w:rsidRPr="00AA575B">
              <w:rPr>
                <w:rFonts w:ascii="Gill Sans MT" w:eastAsia="Gill Sans" w:hAnsi="Gill Sans MT" w:cs="Gill Sans"/>
                <w:sz w:val="22"/>
                <w:szCs w:val="22"/>
              </w:rPr>
              <w:t xml:space="preserve"> de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enero de 2026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C68DF" w14:textId="77777777" w:rsidR="008F54AA" w:rsidRDefault="008F54AA" w:rsidP="004A2A00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de la primera fase</w:t>
            </w: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</w:p>
          <w:p w14:paraId="4B2FFC5E" w14:textId="3F50F101" w:rsidR="008F54AA" w:rsidRPr="009E1EAE" w:rsidRDefault="008F54AA" w:rsidP="008F54AA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10 de marzo de 2026</w:t>
            </w:r>
          </w:p>
        </w:tc>
      </w:tr>
      <w:tr w:rsidR="008F54AA" w:rsidRPr="009E1EAE" w14:paraId="1DC16D7F" w14:textId="77777777" w:rsidTr="004A2A00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E9617" w14:textId="77777777" w:rsidR="008F54AA" w:rsidRPr="009E1EAE" w:rsidRDefault="008F54AA" w:rsidP="004A2A00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>
              <w:rPr>
                <w:rFonts w:ascii="Gill Sans MT" w:eastAsia="Gill Sans" w:hAnsi="Gill Sans MT" w:cs="Gill Sans"/>
                <w:sz w:val="22"/>
                <w:szCs w:val="22"/>
              </w:rPr>
              <w:t xml:space="preserve"> Europeo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0DF40" w14:textId="77777777" w:rsidR="008F54AA" w:rsidRPr="009E1EAE" w:rsidRDefault="008F54AA" w:rsidP="004A2A00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por determinar</w:t>
            </w:r>
          </w:p>
        </w:tc>
      </w:tr>
      <w:tr w:rsidR="008F54AA" w:rsidRPr="009E1EAE" w14:paraId="5DB0939E" w14:textId="77777777" w:rsidTr="004A2A00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D2FBF" w14:textId="77777777" w:rsidR="008F54AA" w:rsidRPr="009E1EAE" w:rsidRDefault="008F54AA" w:rsidP="004A2A00">
            <w:pPr>
              <w:widowControl w:val="0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D92AC" w14:textId="77777777" w:rsidR="008F54AA" w:rsidRPr="009E1EAE" w:rsidRDefault="008F54AA" w:rsidP="004A2A00">
            <w:pPr>
              <w:widowControl w:val="0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</w:p>
        </w:tc>
      </w:tr>
    </w:tbl>
    <w:p w14:paraId="2976BEFA" w14:textId="7EFF8387" w:rsidR="006F7918" w:rsidRDefault="00057CE3" w:rsidP="006F7918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2C2C01">
        <w:rPr>
          <w:rFonts w:ascii="Gill Sans MT" w:hAnsi="Gill Sans MT"/>
          <w:b/>
          <w:sz w:val="22"/>
          <w:szCs w:val="22"/>
        </w:rPr>
        <w:t>Objetivo</w:t>
      </w:r>
      <w:r w:rsidR="006465FF" w:rsidRPr="002C2C01">
        <w:rPr>
          <w:rFonts w:ascii="Gill Sans MT" w:hAnsi="Gill Sans MT"/>
          <w:b/>
          <w:sz w:val="22"/>
          <w:szCs w:val="22"/>
        </w:rPr>
        <w:t xml:space="preserve"> general</w:t>
      </w:r>
      <w:r w:rsidRPr="002C2C01">
        <w:rPr>
          <w:rFonts w:ascii="Gill Sans MT" w:hAnsi="Gill Sans MT"/>
          <w:b/>
          <w:sz w:val="22"/>
          <w:szCs w:val="22"/>
        </w:rPr>
        <w:t>:</w:t>
      </w:r>
      <w:r w:rsidR="00100235" w:rsidRPr="002C2C01">
        <w:rPr>
          <w:rFonts w:ascii="Gill Sans MT" w:hAnsi="Gill Sans MT"/>
          <w:sz w:val="22"/>
          <w:szCs w:val="22"/>
        </w:rPr>
        <w:t xml:space="preserve"> </w:t>
      </w:r>
      <w:r w:rsidR="006F7918" w:rsidRPr="006F0ECA">
        <w:rPr>
          <w:rFonts w:ascii="Gill Sans MT" w:hAnsi="Gill Sans MT"/>
          <w:i/>
          <w:sz w:val="22"/>
          <w:szCs w:val="22"/>
        </w:rPr>
        <w:t xml:space="preserve">EP </w:t>
      </w:r>
      <w:proofErr w:type="spellStart"/>
      <w:r w:rsidR="006F7918" w:rsidRPr="006F0ECA">
        <w:rPr>
          <w:rFonts w:ascii="Gill Sans MT" w:hAnsi="Gill Sans MT"/>
          <w:i/>
          <w:sz w:val="22"/>
          <w:szCs w:val="22"/>
        </w:rPr>
        <w:t>BrainHealth</w:t>
      </w:r>
      <w:proofErr w:type="spellEnd"/>
      <w:r w:rsidR="006F7918" w:rsidRPr="006F7918">
        <w:rPr>
          <w:rFonts w:ascii="Gill Sans MT" w:hAnsi="Gill Sans MT"/>
          <w:sz w:val="22"/>
          <w:szCs w:val="22"/>
        </w:rPr>
        <w:t xml:space="preserve"> </w:t>
      </w:r>
      <w:r w:rsidR="006F7918">
        <w:rPr>
          <w:rFonts w:ascii="Gill Sans MT" w:hAnsi="Gill Sans MT"/>
          <w:sz w:val="22"/>
          <w:szCs w:val="22"/>
        </w:rPr>
        <w:t xml:space="preserve">busca </w:t>
      </w:r>
      <w:r w:rsidR="006F7918" w:rsidRPr="006F7918">
        <w:rPr>
          <w:rFonts w:ascii="Gill Sans MT" w:hAnsi="Gill Sans MT"/>
          <w:sz w:val="22"/>
          <w:szCs w:val="22"/>
        </w:rPr>
        <w:t>el desarrollo del conocimiento científico como base para promover la salud cerebral a lo largo de la vida, prevenir y curar enfermedades cerebrales, y mejorar el bienestar de las personas con trastornos neurológicos y mentales en Europa y el resto del mundo.</w:t>
      </w:r>
      <w:r w:rsidR="006F0ECA">
        <w:rPr>
          <w:rFonts w:ascii="Gill Sans MT" w:hAnsi="Gill Sans MT"/>
          <w:sz w:val="22"/>
          <w:szCs w:val="22"/>
        </w:rPr>
        <w:t xml:space="preserve"> </w:t>
      </w:r>
      <w:r w:rsidR="005C55D8">
        <w:rPr>
          <w:rFonts w:ascii="Gill Sans MT" w:hAnsi="Gill Sans MT"/>
          <w:sz w:val="22"/>
          <w:szCs w:val="22"/>
        </w:rPr>
        <w:t xml:space="preserve">Se </w:t>
      </w:r>
      <w:r w:rsidR="006F7918">
        <w:rPr>
          <w:rFonts w:ascii="Gill Sans MT" w:hAnsi="Gill Sans MT"/>
          <w:sz w:val="22"/>
          <w:szCs w:val="22"/>
        </w:rPr>
        <w:t>financiará</w:t>
      </w:r>
      <w:r w:rsidR="005C55D8">
        <w:rPr>
          <w:rFonts w:ascii="Gill Sans MT" w:hAnsi="Gill Sans MT"/>
          <w:sz w:val="22"/>
          <w:szCs w:val="22"/>
        </w:rPr>
        <w:t xml:space="preserve">n </w:t>
      </w:r>
      <w:r w:rsidR="006F7918" w:rsidRPr="006F7918">
        <w:rPr>
          <w:rFonts w:ascii="Gill Sans MT" w:hAnsi="Gill Sans MT"/>
          <w:sz w:val="22"/>
          <w:szCs w:val="22"/>
        </w:rPr>
        <w:t>consorcios de investigación ambiciosos, innovadores, interdi</w:t>
      </w:r>
      <w:r w:rsidR="006F7918">
        <w:rPr>
          <w:rFonts w:ascii="Gill Sans MT" w:hAnsi="Gill Sans MT"/>
          <w:sz w:val="22"/>
          <w:szCs w:val="22"/>
        </w:rPr>
        <w:t xml:space="preserve">sciplinarios y transnacionales, </w:t>
      </w:r>
      <w:r w:rsidR="006F7918" w:rsidRPr="006F7918">
        <w:rPr>
          <w:rFonts w:ascii="Gill Sans MT" w:hAnsi="Gill Sans MT"/>
          <w:sz w:val="22"/>
          <w:szCs w:val="22"/>
        </w:rPr>
        <w:t>por un periodo de hasta tres años.</w:t>
      </w:r>
    </w:p>
    <w:p w14:paraId="09C3E8A3" w14:textId="21664681" w:rsidR="005C55D8" w:rsidRPr="006F7918" w:rsidRDefault="006F0ECA" w:rsidP="006F0ECA">
      <w:pPr>
        <w:pStyle w:val="Default"/>
        <w:spacing w:before="240" w:line="276" w:lineRule="auto"/>
        <w:jc w:val="both"/>
        <w:rPr>
          <w:rFonts w:ascii="Gill Sans MT" w:hAnsi="Gill Sans MT"/>
          <w:sz w:val="22"/>
          <w:szCs w:val="22"/>
        </w:rPr>
      </w:pPr>
      <w:r w:rsidRPr="006F0ECA">
        <w:rPr>
          <w:rFonts w:ascii="Gill Sans MT" w:hAnsi="Gill Sans MT"/>
          <w:b/>
          <w:sz w:val="22"/>
          <w:szCs w:val="22"/>
        </w:rPr>
        <w:t>Alcance:</w:t>
      </w:r>
      <w:r>
        <w:rPr>
          <w:rFonts w:ascii="Gill Sans MT" w:hAnsi="Gill Sans MT"/>
          <w:sz w:val="22"/>
          <w:szCs w:val="22"/>
        </w:rPr>
        <w:t xml:space="preserve"> </w:t>
      </w:r>
      <w:r w:rsidR="006F7918">
        <w:rPr>
          <w:rFonts w:ascii="Gill Sans MT" w:hAnsi="Gill Sans MT"/>
          <w:sz w:val="22"/>
          <w:szCs w:val="22"/>
        </w:rPr>
        <w:t>Las propuestas deben a</w:t>
      </w:r>
      <w:r w:rsidR="006F7918" w:rsidRPr="006F7918">
        <w:rPr>
          <w:rFonts w:ascii="Gill Sans MT" w:hAnsi="Gill Sans MT"/>
          <w:sz w:val="22"/>
          <w:szCs w:val="22"/>
        </w:rPr>
        <w:t xml:space="preserve">bordar </w:t>
      </w:r>
      <w:r w:rsidR="006F7918" w:rsidRPr="006F7918">
        <w:rPr>
          <w:rFonts w:ascii="Gill Sans MT" w:hAnsi="Gill Sans MT"/>
          <w:b/>
          <w:sz w:val="22"/>
          <w:szCs w:val="22"/>
        </w:rPr>
        <w:t>al menos dos de los tres</w:t>
      </w:r>
      <w:r w:rsidR="006F7918" w:rsidRPr="006F7918">
        <w:rPr>
          <w:rFonts w:ascii="Gill Sans MT" w:hAnsi="Gill Sans MT"/>
          <w:sz w:val="22"/>
          <w:szCs w:val="22"/>
        </w:rPr>
        <w:t xml:space="preserve"> factores siguientes:</w:t>
      </w:r>
    </w:p>
    <w:p w14:paraId="69F8A179" w14:textId="6D299132" w:rsidR="006F7918" w:rsidRPr="006F7918" w:rsidRDefault="006F7918" w:rsidP="006F0ECA">
      <w:pPr>
        <w:pStyle w:val="Default"/>
        <w:numPr>
          <w:ilvl w:val="0"/>
          <w:numId w:val="35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 xml:space="preserve">Factores biológicos, como la genética, la epigenética, la </w:t>
      </w:r>
      <w:proofErr w:type="spellStart"/>
      <w:r w:rsidRPr="006F7918">
        <w:rPr>
          <w:rFonts w:ascii="Gill Sans MT" w:hAnsi="Gill Sans MT"/>
          <w:sz w:val="22"/>
          <w:szCs w:val="22"/>
        </w:rPr>
        <w:t>ómica</w:t>
      </w:r>
      <w:proofErr w:type="spellEnd"/>
      <w:r w:rsidRPr="006F7918">
        <w:rPr>
          <w:rFonts w:ascii="Gill Sans MT" w:hAnsi="Gill Sans MT"/>
          <w:sz w:val="22"/>
          <w:szCs w:val="22"/>
        </w:rPr>
        <w:t xml:space="preserve">, la </w:t>
      </w:r>
      <w:proofErr w:type="spellStart"/>
      <w:r w:rsidRPr="006F7918">
        <w:rPr>
          <w:rFonts w:ascii="Gill Sans MT" w:hAnsi="Gill Sans MT"/>
          <w:sz w:val="22"/>
          <w:szCs w:val="22"/>
        </w:rPr>
        <w:t>neuroplasticidad</w:t>
      </w:r>
      <w:proofErr w:type="spellEnd"/>
      <w:r w:rsidRPr="006F7918">
        <w:rPr>
          <w:rFonts w:ascii="Gill Sans MT" w:hAnsi="Gill Sans MT"/>
          <w:sz w:val="22"/>
          <w:szCs w:val="22"/>
        </w:rPr>
        <w:t xml:space="preserve">, la inflamación, la infección, la </w:t>
      </w:r>
      <w:proofErr w:type="spellStart"/>
      <w:r w:rsidRPr="006F7918">
        <w:rPr>
          <w:rFonts w:ascii="Gill Sans MT" w:hAnsi="Gill Sans MT"/>
          <w:sz w:val="22"/>
          <w:szCs w:val="22"/>
        </w:rPr>
        <w:t>sinaptogénesis</w:t>
      </w:r>
      <w:proofErr w:type="spellEnd"/>
      <w:r w:rsidRPr="006F7918">
        <w:rPr>
          <w:rFonts w:ascii="Gill Sans MT" w:hAnsi="Gill Sans MT"/>
          <w:sz w:val="22"/>
          <w:szCs w:val="22"/>
        </w:rPr>
        <w:t>, los circuitos, los factores vasculares, la discapacidad sensorial y las comorbilidades.</w:t>
      </w:r>
    </w:p>
    <w:p w14:paraId="728B0737" w14:textId="73B51CFF" w:rsidR="006F7918" w:rsidRPr="006F7918" w:rsidRDefault="006F7918" w:rsidP="006F0ECA">
      <w:pPr>
        <w:pStyle w:val="Default"/>
        <w:numPr>
          <w:ilvl w:val="0"/>
          <w:numId w:val="35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>Factores sociales y de estilo de vida, como el ejercicio/la actividad física, la nutrición, el sueño, el tabaquismo, el abuso de alcohol y drogas, el trabajo (ingresos, empleo), el entorno/la situación socioeconómica, la raza/etnia, el sexo y el género, la educación, la seguridad, las interacciones sociales (familia/amigos), el acceso a la atención médica, el estrés, los traumas y la migración.</w:t>
      </w:r>
    </w:p>
    <w:p w14:paraId="64CBDEE6" w14:textId="502299F5" w:rsidR="006F7918" w:rsidRDefault="006F0ECA" w:rsidP="006F0ECA">
      <w:pPr>
        <w:pStyle w:val="Default"/>
        <w:numPr>
          <w:ilvl w:val="0"/>
          <w:numId w:val="35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Factores ambientales</w:t>
      </w:r>
      <w:r w:rsidR="006F7918" w:rsidRPr="006F7918">
        <w:rPr>
          <w:rFonts w:ascii="Gill Sans MT" w:hAnsi="Gill Sans MT"/>
          <w:sz w:val="22"/>
          <w:szCs w:val="22"/>
        </w:rPr>
        <w:t xml:space="preserve"> como contaminación, urbanización, desastres, pandemias, </w:t>
      </w:r>
      <w:r>
        <w:rPr>
          <w:rFonts w:ascii="Gill Sans MT" w:hAnsi="Gill Sans MT"/>
          <w:sz w:val="22"/>
          <w:szCs w:val="22"/>
        </w:rPr>
        <w:t>guerras/conflictos,</w:t>
      </w:r>
      <w:r w:rsidR="006F7918" w:rsidRPr="006F7918">
        <w:rPr>
          <w:rFonts w:ascii="Gill Sans MT" w:hAnsi="Gill Sans MT"/>
          <w:sz w:val="22"/>
          <w:szCs w:val="22"/>
        </w:rPr>
        <w:t xml:space="preserve"> cambio climático, </w:t>
      </w:r>
      <w:proofErr w:type="spellStart"/>
      <w:r>
        <w:rPr>
          <w:rFonts w:ascii="Gill Sans MT" w:hAnsi="Gill Sans MT"/>
          <w:sz w:val="22"/>
          <w:szCs w:val="22"/>
        </w:rPr>
        <w:t>microbiota</w:t>
      </w:r>
      <w:proofErr w:type="spellEnd"/>
      <w:r>
        <w:rPr>
          <w:rFonts w:ascii="Gill Sans MT" w:hAnsi="Gill Sans MT"/>
          <w:sz w:val="22"/>
          <w:szCs w:val="22"/>
        </w:rPr>
        <w:t xml:space="preserve"> y la exposición a la</w:t>
      </w:r>
      <w:r w:rsidR="006F7918" w:rsidRPr="006F7918">
        <w:rPr>
          <w:rFonts w:ascii="Gill Sans MT" w:hAnsi="Gill Sans MT"/>
          <w:sz w:val="22"/>
          <w:szCs w:val="22"/>
        </w:rPr>
        <w:t xml:space="preserve"> naturaleza.</w:t>
      </w:r>
    </w:p>
    <w:p w14:paraId="0A897520" w14:textId="18022643" w:rsidR="005C55D8" w:rsidRPr="006F7918" w:rsidRDefault="006F7918" w:rsidP="006F7918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 xml:space="preserve">Además, las solicitudes deben investigar </w:t>
      </w:r>
      <w:r w:rsidRPr="006F7918">
        <w:rPr>
          <w:rFonts w:ascii="Gill Sans MT" w:hAnsi="Gill Sans MT"/>
          <w:b/>
          <w:sz w:val="22"/>
          <w:szCs w:val="22"/>
        </w:rPr>
        <w:t>al menos dos</w:t>
      </w:r>
      <w:r w:rsidRPr="006F7918">
        <w:rPr>
          <w:rFonts w:ascii="Gill Sans MT" w:hAnsi="Gill Sans MT"/>
          <w:sz w:val="22"/>
          <w:szCs w:val="22"/>
        </w:rPr>
        <w:t xml:space="preserve"> de los siguientes aspectos:</w:t>
      </w:r>
    </w:p>
    <w:p w14:paraId="34336B41" w14:textId="4B6029E4" w:rsidR="006F7918" w:rsidRPr="006F7918" w:rsidRDefault="006F7918" w:rsidP="006F0ECA">
      <w:pPr>
        <w:pStyle w:val="Default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>Mecanismos de acción de los factores identificados.</w:t>
      </w:r>
    </w:p>
    <w:p w14:paraId="0D8F6606" w14:textId="7741F70C" w:rsidR="006F7918" w:rsidRDefault="006F7918" w:rsidP="006F0ECA">
      <w:pPr>
        <w:pStyle w:val="Default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 xml:space="preserve">Reconocimiento temprano, diagnóstico y pronóstico relacionados con </w:t>
      </w:r>
      <w:r w:rsidR="005C55D8">
        <w:rPr>
          <w:rFonts w:ascii="Gill Sans MT" w:hAnsi="Gill Sans MT"/>
          <w:sz w:val="22"/>
          <w:szCs w:val="22"/>
        </w:rPr>
        <w:t>es</w:t>
      </w:r>
      <w:r w:rsidRPr="006F7918">
        <w:rPr>
          <w:rFonts w:ascii="Gill Sans MT" w:hAnsi="Gill Sans MT"/>
          <w:sz w:val="22"/>
          <w:szCs w:val="22"/>
        </w:rPr>
        <w:t xml:space="preserve">os factores. </w:t>
      </w:r>
    </w:p>
    <w:p w14:paraId="19CC59F0" w14:textId="38AF71F9" w:rsidR="006F7918" w:rsidRDefault="006F7918" w:rsidP="006F0ECA">
      <w:pPr>
        <w:pStyle w:val="Default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F7918">
        <w:rPr>
          <w:rFonts w:ascii="Gill Sans MT" w:hAnsi="Gill Sans MT"/>
          <w:sz w:val="22"/>
          <w:szCs w:val="22"/>
        </w:rPr>
        <w:t>Prevención/tratamientos/intervenciones/desarrollo tecnológico/atención y apoyo vinculados a los factores identificados.</w:t>
      </w:r>
    </w:p>
    <w:p w14:paraId="42F83C65" w14:textId="232AF34E" w:rsidR="005C55D8" w:rsidRPr="002C2C01" w:rsidRDefault="00436E38" w:rsidP="006F0ECA">
      <w:pPr>
        <w:pStyle w:val="Default"/>
        <w:spacing w:before="240" w:line="276" w:lineRule="auto"/>
        <w:jc w:val="both"/>
        <w:rPr>
          <w:rFonts w:ascii="Gill Sans MT" w:hAnsi="Gill Sans MT"/>
          <w:sz w:val="22"/>
          <w:szCs w:val="22"/>
        </w:rPr>
      </w:pPr>
      <w:r w:rsidRPr="002C2C01">
        <w:rPr>
          <w:rFonts w:ascii="Gill Sans MT" w:hAnsi="Gill Sans MT"/>
          <w:b/>
          <w:sz w:val="22"/>
          <w:szCs w:val="22"/>
        </w:rPr>
        <w:t>Requisitos</w:t>
      </w:r>
      <w:r w:rsidR="001D651C" w:rsidRPr="002C2C01">
        <w:rPr>
          <w:rFonts w:ascii="Gill Sans MT" w:hAnsi="Gill Sans MT"/>
          <w:b/>
          <w:sz w:val="22"/>
          <w:szCs w:val="22"/>
        </w:rPr>
        <w:t xml:space="preserve"> de financiación</w:t>
      </w:r>
      <w:r w:rsidRPr="002C2C01">
        <w:rPr>
          <w:rFonts w:ascii="Gill Sans MT" w:hAnsi="Gill Sans MT"/>
          <w:b/>
          <w:sz w:val="22"/>
          <w:szCs w:val="22"/>
        </w:rPr>
        <w:t>:</w:t>
      </w:r>
      <w:r w:rsidRPr="002C2C01">
        <w:rPr>
          <w:rFonts w:ascii="Gill Sans MT" w:hAnsi="Gill Sans MT"/>
          <w:sz w:val="22"/>
          <w:szCs w:val="22"/>
        </w:rPr>
        <w:t xml:space="preserve"> </w:t>
      </w:r>
      <w:r w:rsidR="00E77149">
        <w:rPr>
          <w:rFonts w:ascii="Gill Sans MT" w:hAnsi="Gill Sans MT"/>
          <w:sz w:val="22"/>
          <w:szCs w:val="22"/>
        </w:rPr>
        <w:t>M</w:t>
      </w:r>
      <w:r w:rsidR="00E77149" w:rsidRPr="00E77149">
        <w:rPr>
          <w:rFonts w:ascii="Gill Sans MT" w:hAnsi="Gill Sans MT"/>
          <w:sz w:val="22"/>
          <w:szCs w:val="22"/>
        </w:rPr>
        <w:t>ínimo de tres socios de investigación de al menos tres países participantes diferentes, incluyendo al menos dos Estado</w:t>
      </w:r>
      <w:r w:rsidR="00E77149">
        <w:rPr>
          <w:rFonts w:ascii="Gill Sans MT" w:hAnsi="Gill Sans MT"/>
          <w:sz w:val="22"/>
          <w:szCs w:val="22"/>
        </w:rPr>
        <w:t>s miembros o asociados de la UE</w:t>
      </w:r>
      <w:r w:rsidR="00E77149" w:rsidRPr="00E77149">
        <w:rPr>
          <w:rFonts w:ascii="Gill Sans MT" w:hAnsi="Gill Sans MT"/>
          <w:sz w:val="22"/>
          <w:szCs w:val="22"/>
        </w:rPr>
        <w:t xml:space="preserve">. El número total de socios de investigación en un consorcio está limitado a seis, incluyendo a los </w:t>
      </w:r>
      <w:r w:rsidR="00E77149" w:rsidRPr="00E77149">
        <w:rPr>
          <w:rFonts w:ascii="Gill Sans MT" w:hAnsi="Gill Sans MT"/>
          <w:sz w:val="22"/>
          <w:szCs w:val="22"/>
        </w:rPr>
        <w:lastRenderedPageBreak/>
        <w:t xml:space="preserve">socios que participan asumiendo sus propios gastos. </w:t>
      </w:r>
      <w:r w:rsidR="00E77149">
        <w:rPr>
          <w:rFonts w:ascii="Gill Sans MT" w:hAnsi="Gill Sans MT"/>
          <w:sz w:val="22"/>
          <w:szCs w:val="22"/>
        </w:rPr>
        <w:t>N</w:t>
      </w:r>
      <w:r w:rsidR="00E77149" w:rsidRPr="00E77149">
        <w:rPr>
          <w:rFonts w:ascii="Gill Sans MT" w:hAnsi="Gill Sans MT"/>
          <w:sz w:val="22"/>
          <w:szCs w:val="22"/>
        </w:rPr>
        <w:t>o se permite</w:t>
      </w:r>
      <w:r w:rsidR="00E77149">
        <w:rPr>
          <w:rFonts w:ascii="Gill Sans MT" w:hAnsi="Gill Sans MT"/>
          <w:sz w:val="22"/>
          <w:szCs w:val="22"/>
        </w:rPr>
        <w:t>n</w:t>
      </w:r>
      <w:r w:rsidR="00E77149" w:rsidRPr="00E77149">
        <w:rPr>
          <w:rFonts w:ascii="Gill Sans MT" w:hAnsi="Gill Sans MT"/>
          <w:sz w:val="22"/>
          <w:szCs w:val="22"/>
        </w:rPr>
        <w:t xml:space="preserve"> más de dos socios del mismo país. Las </w:t>
      </w:r>
      <w:r w:rsidR="00E77149" w:rsidRPr="006F0ECA">
        <w:rPr>
          <w:rFonts w:ascii="Gill Sans MT" w:hAnsi="Gill Sans MT"/>
          <w:b/>
          <w:sz w:val="22"/>
          <w:szCs w:val="22"/>
        </w:rPr>
        <w:t>organizaciones de pacientes</w:t>
      </w:r>
      <w:r w:rsidR="00E77149" w:rsidRPr="00E77149">
        <w:rPr>
          <w:rFonts w:ascii="Gill Sans MT" w:hAnsi="Gill Sans MT"/>
          <w:sz w:val="22"/>
          <w:szCs w:val="22"/>
        </w:rPr>
        <w:t xml:space="preserve"> participantes no se consideran para los requisitos de tamaño mínimo o máximo del consorcio ni para el equilibrio transnacional.</w:t>
      </w:r>
    </w:p>
    <w:p w14:paraId="4BFA7629" w14:textId="583A3A0D" w:rsidR="002C2C01" w:rsidRDefault="009E315F" w:rsidP="006F0ECA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F40A7C">
        <w:rPr>
          <w:rFonts w:ascii="Gill Sans MT" w:eastAsia="Gill Sans" w:hAnsi="Gill Sans MT" w:cs="Gill Sans"/>
          <w:b/>
          <w:sz w:val="22"/>
          <w:szCs w:val="22"/>
        </w:rPr>
        <w:t xml:space="preserve">Participantes: </w:t>
      </w:r>
      <w:r w:rsidR="00432633" w:rsidRPr="00E77149">
        <w:rPr>
          <w:rFonts w:ascii="Gill Sans MT" w:eastAsia="Gill Sans" w:hAnsi="Gill Sans MT" w:cs="Gill Sans"/>
          <w:sz w:val="22"/>
          <w:szCs w:val="22"/>
        </w:rPr>
        <w:t xml:space="preserve">Alemania,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Australia,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Bélgica,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Croacia,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Dinamarca, </w:t>
      </w:r>
      <w:r w:rsidR="00432633" w:rsidRPr="00E77149">
        <w:rPr>
          <w:rFonts w:ascii="Gill Sans MT" w:eastAsia="Gill Sans" w:hAnsi="Gill Sans MT" w:cs="Gill Sans"/>
          <w:sz w:val="22"/>
          <w:szCs w:val="22"/>
        </w:rPr>
        <w:t>Eslovaquia</w:t>
      </w:r>
      <w:r w:rsidR="00D22AF2" w:rsidRPr="00E77149">
        <w:rPr>
          <w:rFonts w:ascii="Gill Sans MT" w:eastAsia="Gill Sans" w:hAnsi="Gill Sans MT" w:cs="Gill Sans"/>
          <w:sz w:val="22"/>
          <w:szCs w:val="22"/>
        </w:rPr>
        <w:t xml:space="preserve">, España,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Estonia,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Finlandia,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Francia, Grecia, Hungría, Irlanda,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Islandia, Israel,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Italia,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Letonia, Lituania, Malta, Moldavia, </w:t>
      </w:r>
      <w:r w:rsidRPr="00E77149">
        <w:rPr>
          <w:rFonts w:ascii="Gill Sans MT" w:eastAsia="Gill Sans" w:hAnsi="Gill Sans MT" w:cs="Gill Sans"/>
          <w:sz w:val="22"/>
          <w:szCs w:val="22"/>
        </w:rPr>
        <w:t xml:space="preserve">Noruega,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Nueva Zelanda, </w:t>
      </w:r>
      <w:r w:rsidR="00432633" w:rsidRPr="00E77149">
        <w:rPr>
          <w:rFonts w:ascii="Gill Sans MT" w:eastAsia="Gill Sans" w:hAnsi="Gill Sans MT" w:cs="Gill Sans"/>
          <w:sz w:val="22"/>
          <w:szCs w:val="22"/>
        </w:rPr>
        <w:t xml:space="preserve">Países Bajos,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Polonia, </w:t>
      </w:r>
      <w:r w:rsidRPr="00E77149">
        <w:rPr>
          <w:rFonts w:ascii="Gill Sans MT" w:eastAsia="Gill Sans" w:hAnsi="Gill Sans MT" w:cs="Gill Sans"/>
          <w:sz w:val="22"/>
          <w:szCs w:val="22"/>
        </w:rPr>
        <w:t>Portugal</w:t>
      </w:r>
      <w:r w:rsidR="00D22AF2" w:rsidRPr="00E77149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 xml:space="preserve">Rumanía, </w:t>
      </w:r>
      <w:r w:rsidRPr="00E77149">
        <w:rPr>
          <w:rFonts w:ascii="Gill Sans MT" w:eastAsia="Gill Sans" w:hAnsi="Gill Sans MT" w:cs="Gill Sans"/>
          <w:sz w:val="22"/>
          <w:szCs w:val="22"/>
        </w:rPr>
        <w:t>Suecia</w:t>
      </w:r>
      <w:r w:rsidR="00E77149" w:rsidRPr="00E77149">
        <w:rPr>
          <w:rFonts w:ascii="Gill Sans MT" w:eastAsia="Gill Sans" w:hAnsi="Gill Sans MT" w:cs="Gill Sans"/>
          <w:sz w:val="22"/>
          <w:szCs w:val="22"/>
        </w:rPr>
        <w:t>, Suiza, Taiwán</w:t>
      </w:r>
      <w:r w:rsidR="00432633" w:rsidRPr="00E77149">
        <w:rPr>
          <w:rFonts w:ascii="Gill Sans MT" w:eastAsia="Gill Sans" w:hAnsi="Gill Sans MT" w:cs="Gill Sans"/>
          <w:sz w:val="22"/>
          <w:szCs w:val="22"/>
        </w:rPr>
        <w:t xml:space="preserve"> </w:t>
      </w:r>
      <w:r w:rsidRPr="00E77149">
        <w:rPr>
          <w:rFonts w:ascii="Gill Sans MT" w:eastAsia="Gill Sans" w:hAnsi="Gill Sans MT" w:cs="Gill Sans"/>
          <w:sz w:val="22"/>
          <w:szCs w:val="22"/>
        </w:rPr>
        <w:t>y Turquía.</w:t>
      </w:r>
    </w:p>
    <w:p w14:paraId="51FDD40F" w14:textId="7B3F71B7" w:rsidR="002C2C01" w:rsidRDefault="0064520F" w:rsidP="002C2C01">
      <w:pPr>
        <w:jc w:val="both"/>
        <w:rPr>
          <w:rFonts w:ascii="Gill Sans MT" w:hAnsi="Gill Sans MT"/>
          <w:sz w:val="22"/>
          <w:szCs w:val="22"/>
        </w:rPr>
      </w:pPr>
      <w:r w:rsidRPr="0064520F">
        <w:rPr>
          <w:rFonts w:ascii="Gill Sans MT" w:hAnsi="Gill Sans MT"/>
          <w:sz w:val="22"/>
          <w:szCs w:val="22"/>
        </w:rPr>
        <w:t xml:space="preserve">Se </w:t>
      </w:r>
      <w:r>
        <w:rPr>
          <w:rFonts w:ascii="Gill Sans MT" w:hAnsi="Gill Sans MT"/>
          <w:sz w:val="22"/>
          <w:szCs w:val="22"/>
        </w:rPr>
        <w:t>da</w:t>
      </w:r>
      <w:r w:rsidRPr="0064520F">
        <w:rPr>
          <w:rFonts w:ascii="Gill Sans MT" w:hAnsi="Gill Sans MT"/>
          <w:sz w:val="22"/>
          <w:szCs w:val="22"/>
        </w:rPr>
        <w:t>rán más detalles sobre el alcance, la lista definitiva de organismos financiadores participantes y las normas de elegibilidad en el texto de la convocatoria.</w:t>
      </w:r>
    </w:p>
    <w:p w14:paraId="25CAF991" w14:textId="7DF61490" w:rsidR="00057CE3" w:rsidRPr="002C2C01" w:rsidRDefault="00057CE3" w:rsidP="006F0ECA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bookmarkStart w:id="0" w:name="_GoBack"/>
      <w:bookmarkEnd w:id="0"/>
      <w:r w:rsidRPr="00504194">
        <w:rPr>
          <w:rFonts w:ascii="Gill Sans MT" w:eastAsia="Gill Sans" w:hAnsi="Gill Sans MT" w:cs="Gill Sans"/>
          <w:b/>
          <w:sz w:val="22"/>
        </w:rPr>
        <w:t>Más información:</w:t>
      </w:r>
      <w:r w:rsidRPr="00504194">
        <w:rPr>
          <w:rFonts w:ascii="Gill Sans MT" w:eastAsia="Gill Sans" w:hAnsi="Gill Sans MT" w:cs="Gill Sans"/>
          <w:sz w:val="22"/>
        </w:rPr>
        <w:t xml:space="preserve"> </w:t>
      </w:r>
    </w:p>
    <w:p w14:paraId="76D4F8E1" w14:textId="06DC38BA" w:rsidR="00057CE3" w:rsidRPr="00504194" w:rsidRDefault="00057CE3" w:rsidP="002C2C01">
      <w:pPr>
        <w:pStyle w:val="Default"/>
        <w:spacing w:line="276" w:lineRule="auto"/>
        <w:jc w:val="both"/>
        <w:rPr>
          <w:rFonts w:ascii="Gill Sans MT" w:eastAsia="Gill Sans" w:hAnsi="Gill Sans MT" w:cs="Gill Sans"/>
          <w:sz w:val="22"/>
        </w:rPr>
      </w:pPr>
      <w:r w:rsidRPr="00504194">
        <w:rPr>
          <w:rFonts w:ascii="Gill Sans MT" w:eastAsia="Gill Sans" w:hAnsi="Gill Sans MT" w:cs="Gill Sans"/>
          <w:sz w:val="22"/>
        </w:rPr>
        <w:t xml:space="preserve">Ponerse en contacto </w:t>
      </w:r>
      <w:r w:rsidR="00DC72CB">
        <w:rPr>
          <w:rFonts w:ascii="Gill Sans MT" w:eastAsia="Gill Sans" w:hAnsi="Gill Sans MT" w:cs="Gill Sans"/>
          <w:sz w:val="22"/>
        </w:rPr>
        <w:t xml:space="preserve">antes del 10 de febrero de 2026 </w:t>
      </w:r>
      <w:r w:rsidRPr="00504194">
        <w:rPr>
          <w:rFonts w:ascii="Gill Sans MT" w:eastAsia="Gill Sans" w:hAnsi="Gill Sans MT" w:cs="Gill Sans"/>
          <w:sz w:val="22"/>
        </w:rPr>
        <w:t xml:space="preserve">con la </w:t>
      </w:r>
      <w:hyperlink r:id="rId8">
        <w:r w:rsidRPr="00504194">
          <w:rPr>
            <w:rStyle w:val="EnlacedeInternet"/>
            <w:rFonts w:ascii="Gill Sans MT" w:eastAsia="Gill Sans" w:hAnsi="Gill Sans MT" w:cs="Gill Sans"/>
            <w:sz w:val="22"/>
          </w:rPr>
          <w:t>Plataforma de Internacionalización</w:t>
        </w:r>
      </w:hyperlink>
      <w:r w:rsidR="007D4AA2">
        <w:rPr>
          <w:rStyle w:val="EnlacedeInternet"/>
          <w:rFonts w:ascii="Gill Sans MT" w:eastAsia="Gill Sans" w:hAnsi="Gill Sans MT" w:cs="Gill Sans"/>
          <w:sz w:val="22"/>
        </w:rPr>
        <w:t>.</w:t>
      </w:r>
    </w:p>
    <w:p w14:paraId="778BA5C9" w14:textId="4F83C79D" w:rsidR="00057CE3" w:rsidRPr="00504194" w:rsidRDefault="006F0ECA" w:rsidP="002C2C01">
      <w:pPr>
        <w:pStyle w:val="Default"/>
        <w:spacing w:line="276" w:lineRule="auto"/>
        <w:jc w:val="both"/>
        <w:rPr>
          <w:rFonts w:ascii="Gill Sans MT" w:eastAsia="Gill Sans" w:hAnsi="Gill Sans MT" w:cs="Gill Sans"/>
          <w:sz w:val="22"/>
        </w:rPr>
      </w:pPr>
      <w:hyperlink r:id="rId9" w:history="1">
        <w:r w:rsidR="00F43897" w:rsidRPr="00504194">
          <w:rPr>
            <w:rStyle w:val="Hipervnculo"/>
            <w:rFonts w:ascii="Gill Sans MT" w:eastAsia="Gill Sans" w:hAnsi="Gill Sans MT" w:cs="Gill Sans"/>
            <w:sz w:val="22"/>
          </w:rPr>
          <w:t xml:space="preserve">Texto íntegro del </w:t>
        </w:r>
        <w:r w:rsidR="0064520F">
          <w:rPr>
            <w:rStyle w:val="Hipervnculo"/>
            <w:rFonts w:ascii="Gill Sans MT" w:eastAsia="Gill Sans" w:hAnsi="Gill Sans MT" w:cs="Gill Sans"/>
            <w:sz w:val="22"/>
          </w:rPr>
          <w:t>preanuncio</w:t>
        </w:r>
        <w:r w:rsidR="00057CE3" w:rsidRPr="00504194">
          <w:rPr>
            <w:rStyle w:val="Hipervnculo"/>
            <w:rFonts w:ascii="Gill Sans MT" w:eastAsia="Gill Sans" w:hAnsi="Gill Sans MT" w:cs="Gill Sans"/>
            <w:sz w:val="22"/>
          </w:rPr>
          <w:t>.</w:t>
        </w:r>
      </w:hyperlink>
    </w:p>
    <w:sectPr w:rsidR="00057CE3" w:rsidRPr="0050419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E5D6" w14:textId="77777777" w:rsidR="00053E4A" w:rsidRDefault="009C667C">
      <w:r>
        <w:separator/>
      </w:r>
    </w:p>
  </w:endnote>
  <w:endnote w:type="continuationSeparator" w:id="0">
    <w:p w14:paraId="795166AD" w14:textId="77777777" w:rsidR="00053E4A" w:rsidRDefault="009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B760" w14:textId="77777777" w:rsidR="000E7E9B" w:rsidRDefault="000E7E9B">
    <w:pPr>
      <w:widowControl w:val="0"/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Layout w:type="fixed"/>
      <w:tblLook w:val="0000" w:firstRow="0" w:lastRow="0" w:firstColumn="0" w:lastColumn="0" w:noHBand="0" w:noVBand="0"/>
    </w:tblPr>
    <w:tblGrid>
      <w:gridCol w:w="8473"/>
    </w:tblGrid>
    <w:tr w:rsidR="000E7E9B" w14:paraId="0E21C3B5" w14:textId="77777777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14:paraId="6EADA67A" w14:textId="77777777" w:rsidR="000E7E9B" w:rsidRDefault="006F0ECA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9C667C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14:paraId="16D896E6" w14:textId="3FF41D28" w:rsidR="000E7E9B" w:rsidRDefault="009C667C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 xml:space="preserve"> PAGE </w:instrTex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6F0ECA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1</w: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14:paraId="405DBB8A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5BD6" w14:textId="77777777" w:rsidR="00053E4A" w:rsidRDefault="009C667C">
      <w:r>
        <w:separator/>
      </w:r>
    </w:p>
  </w:footnote>
  <w:footnote w:type="continuationSeparator" w:id="0">
    <w:p w14:paraId="59507DA9" w14:textId="77777777" w:rsidR="00053E4A" w:rsidRDefault="009C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4020" w14:textId="77777777" w:rsidR="000E7E9B" w:rsidRDefault="000E7E9B">
    <w:pPr>
      <w:widowControl w:val="0"/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Layout w:type="fixed"/>
      <w:tblLook w:val="0000" w:firstRow="0" w:lastRow="0" w:firstColumn="0" w:lastColumn="0" w:noHBand="0" w:noVBand="0"/>
    </w:tblPr>
    <w:tblGrid>
      <w:gridCol w:w="1724"/>
      <w:gridCol w:w="5106"/>
      <w:gridCol w:w="1674"/>
    </w:tblGrid>
    <w:tr w:rsidR="000E7E9B" w14:paraId="776E5F79" w14:textId="77777777">
      <w:trPr>
        <w:trHeight w:val="700"/>
      </w:trPr>
      <w:tc>
        <w:tcPr>
          <w:tcW w:w="1724" w:type="dxa"/>
          <w:tcBorders>
            <w:right w:val="single" w:sz="36" w:space="0" w:color="999999"/>
          </w:tcBorders>
        </w:tcPr>
        <w:p w14:paraId="395CE4C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>
            <w:rPr>
              <w:noProof/>
            </w:rPr>
            <w:drawing>
              <wp:inline distT="0" distB="0" distL="0" distR="0" wp14:anchorId="517D0597" wp14:editId="444C5C1B">
                <wp:extent cx="866775" cy="44767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6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14:paraId="3BC1F911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14:paraId="1B7CD94B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14:paraId="1FA8DD1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14:paraId="2C36F388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14:paraId="53296E04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0764104" wp14:editId="13A8FBB1">
                <wp:extent cx="541655" cy="541655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51A4DC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6CC273"/>
    <w:multiLevelType w:val="hybridMultilevel"/>
    <w:tmpl w:val="2A336F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7FF110"/>
    <w:multiLevelType w:val="hybridMultilevel"/>
    <w:tmpl w:val="5DDCF9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AB908"/>
    <w:multiLevelType w:val="hybridMultilevel"/>
    <w:tmpl w:val="5B2040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6DD1C"/>
    <w:multiLevelType w:val="hybridMultilevel"/>
    <w:tmpl w:val="1DB32C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3CFF0B"/>
    <w:multiLevelType w:val="hybridMultilevel"/>
    <w:tmpl w:val="B9988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84F05"/>
    <w:multiLevelType w:val="hybridMultilevel"/>
    <w:tmpl w:val="D7BB0E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10CE2"/>
    <w:multiLevelType w:val="hybridMultilevel"/>
    <w:tmpl w:val="69A26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9D03D1"/>
    <w:multiLevelType w:val="hybridMultilevel"/>
    <w:tmpl w:val="50A08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40170"/>
    <w:multiLevelType w:val="hybridMultilevel"/>
    <w:tmpl w:val="375EA4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4943A"/>
    <w:multiLevelType w:val="hybridMultilevel"/>
    <w:tmpl w:val="787353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27454F"/>
    <w:multiLevelType w:val="hybridMultilevel"/>
    <w:tmpl w:val="33CDF6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39E49B9"/>
    <w:multiLevelType w:val="hybridMultilevel"/>
    <w:tmpl w:val="ADCCDF4C"/>
    <w:lvl w:ilvl="0" w:tplc="93F45B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272E5"/>
    <w:multiLevelType w:val="hybridMultilevel"/>
    <w:tmpl w:val="3395C8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1823331"/>
    <w:multiLevelType w:val="hybridMultilevel"/>
    <w:tmpl w:val="D0EA58FE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C5231"/>
    <w:multiLevelType w:val="hybridMultilevel"/>
    <w:tmpl w:val="949481C6"/>
    <w:lvl w:ilvl="0" w:tplc="DC0AEB90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07849"/>
    <w:multiLevelType w:val="hybridMultilevel"/>
    <w:tmpl w:val="D250D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0CEC"/>
    <w:multiLevelType w:val="hybridMultilevel"/>
    <w:tmpl w:val="1506D7E2"/>
    <w:lvl w:ilvl="0" w:tplc="9122419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sz w:val="24"/>
      </w:rPr>
    </w:lvl>
    <w:lvl w:ilvl="1" w:tplc="9DC8A02E">
      <w:numFmt w:val="bullet"/>
      <w:lvlText w:val="-"/>
      <w:lvlJc w:val="left"/>
      <w:pPr>
        <w:ind w:left="1440" w:hanging="360"/>
      </w:pPr>
      <w:rPr>
        <w:rFonts w:ascii="Gill Sans MT" w:eastAsia="Gill Sans" w:hAnsi="Gill Sans MT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C2A5B"/>
    <w:multiLevelType w:val="hybridMultilevel"/>
    <w:tmpl w:val="EA704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BF05CD"/>
    <w:multiLevelType w:val="hybridMultilevel"/>
    <w:tmpl w:val="5D1C7194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A7532"/>
    <w:multiLevelType w:val="multilevel"/>
    <w:tmpl w:val="9F10B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CEA1303"/>
    <w:multiLevelType w:val="hybridMultilevel"/>
    <w:tmpl w:val="371C8154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3469"/>
    <w:multiLevelType w:val="hybridMultilevel"/>
    <w:tmpl w:val="B0C2AA30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33CDE"/>
    <w:multiLevelType w:val="hybridMultilevel"/>
    <w:tmpl w:val="061E0B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36BB"/>
    <w:multiLevelType w:val="hybridMultilevel"/>
    <w:tmpl w:val="1D8CE206"/>
    <w:lvl w:ilvl="0" w:tplc="48A2EBBC">
      <w:numFmt w:val="bullet"/>
      <w:lvlText w:val="-"/>
      <w:lvlJc w:val="left"/>
      <w:pPr>
        <w:ind w:left="855" w:hanging="495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150C6"/>
    <w:multiLevelType w:val="multilevel"/>
    <w:tmpl w:val="194CE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2CB6D1C"/>
    <w:multiLevelType w:val="hybridMultilevel"/>
    <w:tmpl w:val="E4D0A63A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F6C56"/>
    <w:multiLevelType w:val="hybridMultilevel"/>
    <w:tmpl w:val="CFF0A5E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0FFF"/>
    <w:multiLevelType w:val="hybridMultilevel"/>
    <w:tmpl w:val="287C9E3A"/>
    <w:lvl w:ilvl="0" w:tplc="8E1A271E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91C40"/>
    <w:multiLevelType w:val="hybridMultilevel"/>
    <w:tmpl w:val="4EC4B2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7E66CEA"/>
    <w:multiLevelType w:val="hybridMultilevel"/>
    <w:tmpl w:val="E73EDB00"/>
    <w:lvl w:ilvl="0" w:tplc="1696E2A2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12F52"/>
    <w:multiLevelType w:val="hybridMultilevel"/>
    <w:tmpl w:val="0CBA7E08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77F8F"/>
    <w:multiLevelType w:val="hybridMultilevel"/>
    <w:tmpl w:val="E39C57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62CA1"/>
    <w:multiLevelType w:val="hybridMultilevel"/>
    <w:tmpl w:val="9F424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54AC9"/>
    <w:multiLevelType w:val="hybridMultilevel"/>
    <w:tmpl w:val="B01A8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30E47"/>
    <w:multiLevelType w:val="hybridMultilevel"/>
    <w:tmpl w:val="772A17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03402"/>
    <w:multiLevelType w:val="hybridMultilevel"/>
    <w:tmpl w:val="D094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D4500"/>
    <w:multiLevelType w:val="hybridMultilevel"/>
    <w:tmpl w:val="4B4AE242"/>
    <w:lvl w:ilvl="0" w:tplc="A1443302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5"/>
  </w:num>
  <w:num w:numId="4">
    <w:abstractNumId w:val="32"/>
  </w:num>
  <w:num w:numId="5">
    <w:abstractNumId w:val="23"/>
  </w:num>
  <w:num w:numId="6">
    <w:abstractNumId w:val="13"/>
  </w:num>
  <w:num w:numId="7">
    <w:abstractNumId w:val="30"/>
  </w:num>
  <w:num w:numId="8">
    <w:abstractNumId w:val="16"/>
  </w:num>
  <w:num w:numId="9">
    <w:abstractNumId w:val="15"/>
  </w:num>
  <w:num w:numId="10">
    <w:abstractNumId w:val="8"/>
  </w:num>
  <w:num w:numId="11">
    <w:abstractNumId w:val="14"/>
  </w:num>
  <w:num w:numId="12">
    <w:abstractNumId w:val="11"/>
  </w:num>
  <w:num w:numId="13">
    <w:abstractNumId w:val="28"/>
  </w:num>
  <w:num w:numId="14">
    <w:abstractNumId w:val="6"/>
  </w:num>
  <w:num w:numId="15">
    <w:abstractNumId w:val="0"/>
  </w:num>
  <w:num w:numId="16">
    <w:abstractNumId w:val="3"/>
  </w:num>
  <w:num w:numId="17">
    <w:abstractNumId w:val="17"/>
  </w:num>
  <w:num w:numId="18">
    <w:abstractNumId w:val="2"/>
  </w:num>
  <w:num w:numId="19">
    <w:abstractNumId w:val="27"/>
  </w:num>
  <w:num w:numId="20">
    <w:abstractNumId w:val="10"/>
  </w:num>
  <w:num w:numId="21">
    <w:abstractNumId w:val="36"/>
  </w:num>
  <w:num w:numId="22">
    <w:abstractNumId w:val="1"/>
  </w:num>
  <w:num w:numId="23">
    <w:abstractNumId w:val="9"/>
  </w:num>
  <w:num w:numId="24">
    <w:abstractNumId w:val="4"/>
  </w:num>
  <w:num w:numId="25">
    <w:abstractNumId w:val="12"/>
  </w:num>
  <w:num w:numId="26">
    <w:abstractNumId w:val="5"/>
  </w:num>
  <w:num w:numId="27">
    <w:abstractNumId w:val="29"/>
  </w:num>
  <w:num w:numId="28">
    <w:abstractNumId w:val="33"/>
  </w:num>
  <w:num w:numId="29">
    <w:abstractNumId w:val="25"/>
  </w:num>
  <w:num w:numId="30">
    <w:abstractNumId w:val="20"/>
  </w:num>
  <w:num w:numId="31">
    <w:abstractNumId w:val="31"/>
  </w:num>
  <w:num w:numId="32">
    <w:abstractNumId w:val="21"/>
  </w:num>
  <w:num w:numId="33">
    <w:abstractNumId w:val="18"/>
  </w:num>
  <w:num w:numId="34">
    <w:abstractNumId w:val="7"/>
  </w:num>
  <w:num w:numId="35">
    <w:abstractNumId w:val="34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B"/>
    <w:rsid w:val="00036B2D"/>
    <w:rsid w:val="00053E4A"/>
    <w:rsid w:val="00057CE3"/>
    <w:rsid w:val="000A7C09"/>
    <w:rsid w:val="000C5ED3"/>
    <w:rsid w:val="000D41B3"/>
    <w:rsid w:val="000D5E16"/>
    <w:rsid w:val="000E7E9B"/>
    <w:rsid w:val="00100235"/>
    <w:rsid w:val="001438D9"/>
    <w:rsid w:val="0014482A"/>
    <w:rsid w:val="00183276"/>
    <w:rsid w:val="001903CA"/>
    <w:rsid w:val="00195D84"/>
    <w:rsid w:val="001969C1"/>
    <w:rsid w:val="001C5714"/>
    <w:rsid w:val="001D651C"/>
    <w:rsid w:val="00201372"/>
    <w:rsid w:val="002607BE"/>
    <w:rsid w:val="00291FCC"/>
    <w:rsid w:val="00297F54"/>
    <w:rsid w:val="002C2C01"/>
    <w:rsid w:val="003035FE"/>
    <w:rsid w:val="00312663"/>
    <w:rsid w:val="00325732"/>
    <w:rsid w:val="00325E48"/>
    <w:rsid w:val="00345E75"/>
    <w:rsid w:val="00362233"/>
    <w:rsid w:val="0037554B"/>
    <w:rsid w:val="00375BFF"/>
    <w:rsid w:val="003C255C"/>
    <w:rsid w:val="003C6D87"/>
    <w:rsid w:val="003E1ADA"/>
    <w:rsid w:val="004031C3"/>
    <w:rsid w:val="00432633"/>
    <w:rsid w:val="00436E38"/>
    <w:rsid w:val="0044006C"/>
    <w:rsid w:val="0046683F"/>
    <w:rsid w:val="00467177"/>
    <w:rsid w:val="00470DCA"/>
    <w:rsid w:val="004A27A7"/>
    <w:rsid w:val="004A3E0F"/>
    <w:rsid w:val="00504194"/>
    <w:rsid w:val="005153A6"/>
    <w:rsid w:val="0055068C"/>
    <w:rsid w:val="005532EB"/>
    <w:rsid w:val="00566FDB"/>
    <w:rsid w:val="00591337"/>
    <w:rsid w:val="005C139E"/>
    <w:rsid w:val="005C55D8"/>
    <w:rsid w:val="005C6494"/>
    <w:rsid w:val="005E2356"/>
    <w:rsid w:val="005E6595"/>
    <w:rsid w:val="005E6AA7"/>
    <w:rsid w:val="005E75A0"/>
    <w:rsid w:val="0064520F"/>
    <w:rsid w:val="006465FF"/>
    <w:rsid w:val="006840C5"/>
    <w:rsid w:val="006B75F9"/>
    <w:rsid w:val="006D413B"/>
    <w:rsid w:val="006D6379"/>
    <w:rsid w:val="006F0ECA"/>
    <w:rsid w:val="006F7918"/>
    <w:rsid w:val="00702927"/>
    <w:rsid w:val="00740764"/>
    <w:rsid w:val="007457CF"/>
    <w:rsid w:val="007552B6"/>
    <w:rsid w:val="00793F7E"/>
    <w:rsid w:val="00796B15"/>
    <w:rsid w:val="00797870"/>
    <w:rsid w:val="007C22F5"/>
    <w:rsid w:val="007D4AA2"/>
    <w:rsid w:val="007E33E4"/>
    <w:rsid w:val="007F31F5"/>
    <w:rsid w:val="00807018"/>
    <w:rsid w:val="00822014"/>
    <w:rsid w:val="00896938"/>
    <w:rsid w:val="008F54AA"/>
    <w:rsid w:val="009571EE"/>
    <w:rsid w:val="009630F6"/>
    <w:rsid w:val="009C667C"/>
    <w:rsid w:val="009C7B64"/>
    <w:rsid w:val="009E315F"/>
    <w:rsid w:val="00A02CB3"/>
    <w:rsid w:val="00A21B49"/>
    <w:rsid w:val="00A53F1F"/>
    <w:rsid w:val="00A56C8C"/>
    <w:rsid w:val="00AA1056"/>
    <w:rsid w:val="00AA3553"/>
    <w:rsid w:val="00AB3277"/>
    <w:rsid w:val="00AE3E19"/>
    <w:rsid w:val="00B03E72"/>
    <w:rsid w:val="00B31784"/>
    <w:rsid w:val="00B54A26"/>
    <w:rsid w:val="00B612E2"/>
    <w:rsid w:val="00C25644"/>
    <w:rsid w:val="00C27A67"/>
    <w:rsid w:val="00C425F2"/>
    <w:rsid w:val="00C4283C"/>
    <w:rsid w:val="00C50723"/>
    <w:rsid w:val="00C60411"/>
    <w:rsid w:val="00C70CEA"/>
    <w:rsid w:val="00C92CE7"/>
    <w:rsid w:val="00CC6930"/>
    <w:rsid w:val="00CF07ED"/>
    <w:rsid w:val="00CF143B"/>
    <w:rsid w:val="00D022F6"/>
    <w:rsid w:val="00D077FE"/>
    <w:rsid w:val="00D22AF2"/>
    <w:rsid w:val="00D83BA9"/>
    <w:rsid w:val="00DB6527"/>
    <w:rsid w:val="00DC72CB"/>
    <w:rsid w:val="00E30406"/>
    <w:rsid w:val="00E77149"/>
    <w:rsid w:val="00EE0D6C"/>
    <w:rsid w:val="00EF3922"/>
    <w:rsid w:val="00F043C9"/>
    <w:rsid w:val="00F103CE"/>
    <w:rsid w:val="00F43897"/>
    <w:rsid w:val="00FA1811"/>
    <w:rsid w:val="00F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6D4"/>
  <w15:docId w15:val="{C604FA4B-0908-4A5B-8E6B-6B157B3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3B"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15F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76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76D9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36A32"/>
    <w:rPr>
      <w:color w:val="800080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96B44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C667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E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A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71EE"/>
    <w:pPr>
      <w:suppressAutoHyphens w:val="0"/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2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2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3BA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201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4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EspacioInvestigador/Internacionalizac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ainhealth-partnership.eu/cal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Comunidad de Madrid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dc:description/>
  <cp:lastModifiedBy>fundacionhulp</cp:lastModifiedBy>
  <cp:revision>19</cp:revision>
  <cp:lastPrinted>2024-12-26T11:35:00Z</cp:lastPrinted>
  <dcterms:created xsi:type="dcterms:W3CDTF">2025-12-04T09:06:00Z</dcterms:created>
  <dcterms:modified xsi:type="dcterms:W3CDTF">2025-12-19T11:30:00Z</dcterms:modified>
  <dc:language>es-ES</dc:language>
</cp:coreProperties>
</file>