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51B81">
      <w:pPr>
        <w:spacing w:line="240" w:lineRule="exact"/>
        <w:ind w:left="173"/>
        <w:rPr>
          <w:b/>
        </w:rPr>
      </w:pPr>
      <w:r>
        <w:rPr>
          <w:b/>
          <w:w w:val="90"/>
          <w:highlight w:val="yellow"/>
        </w:rPr>
        <w:t xml:space="preserve">  </w:t>
      </w:r>
      <w:r w:rsidR="00636483">
        <w:rPr>
          <w:b/>
          <w:w w:val="90"/>
        </w:rPr>
        <w:t>14º TALLER DE SIMULACIÓN DE ADMINISTRACIÓN MENOS INVASIVA DE SURFACTANTE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FE53D7" w:rsidRPr="00422B6C">
        <w:rPr>
          <w:sz w:val="23"/>
          <w:szCs w:val="23"/>
          <w:highlight w:val="yellow"/>
        </w:rPr>
        <w:t>“</w:t>
      </w:r>
      <w:r w:rsidR="00636483">
        <w:rPr>
          <w:sz w:val="23"/>
          <w:szCs w:val="23"/>
          <w:highlight w:val="yellow"/>
        </w:rPr>
        <w:t>TALLER LISA</w:t>
      </w:r>
      <w:bookmarkStart w:id="0" w:name="_GoBack"/>
      <w:bookmarkEnd w:id="0"/>
      <w:r w:rsidR="00FE53D7">
        <w:rPr>
          <w:sz w:val="23"/>
          <w:szCs w:val="23"/>
          <w:highlight w:val="yellow"/>
        </w:rPr>
        <w:t>.</w:t>
      </w:r>
      <w:r w:rsidR="00C51B81">
        <w:rPr>
          <w:sz w:val="23"/>
          <w:szCs w:val="23"/>
          <w:highlight w:val="yellow"/>
        </w:rPr>
        <w:t xml:space="preserve">  </w:t>
      </w:r>
      <w:r w:rsidR="00422B6C" w:rsidRPr="00422B6C">
        <w:rPr>
          <w:sz w:val="23"/>
          <w:szCs w:val="23"/>
          <w:highlight w:val="yellow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Ttul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6C" w:rsidRDefault="00636483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5B227E"/>
    <w:rsid w:val="00636483"/>
    <w:rsid w:val="00875503"/>
    <w:rsid w:val="00A51488"/>
    <w:rsid w:val="00C51B81"/>
    <w:rsid w:val="00C6241C"/>
    <w:rsid w:val="00DB278B"/>
    <w:rsid w:val="00E76E2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6D01165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Fundac28</cp:lastModifiedBy>
  <cp:revision>2</cp:revision>
  <cp:lastPrinted>2023-05-26T09:46:00Z</cp:lastPrinted>
  <dcterms:created xsi:type="dcterms:W3CDTF">2023-08-31T09:16:00Z</dcterms:created>
  <dcterms:modified xsi:type="dcterms:W3CDTF">2023-08-31T09:16:00Z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